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4A3D" w14:textId="4E09BAF7" w:rsidR="00521834" w:rsidRPr="00521834" w:rsidRDefault="00CF0814" w:rsidP="006162E2">
      <w:pPr>
        <w:spacing w:after="0" w:line="240" w:lineRule="auto"/>
        <w:jc w:val="center"/>
        <w:rPr>
          <w:rFonts w:ascii="Times New Roman" w:eastAsia="Times New Roman" w:hAnsi="Times New Roman" w:cs="Times New Roman"/>
          <w:b/>
          <w:snapToGrid w:val="0"/>
          <w:sz w:val="24"/>
          <w:szCs w:val="24"/>
          <w:u w:val="single"/>
        </w:rPr>
      </w:pPr>
      <w:r w:rsidRPr="00521834">
        <w:rPr>
          <w:rFonts w:ascii="Times New Roman" w:eastAsia="Times New Roman" w:hAnsi="Times New Roman" w:cs="Times New Roman"/>
          <w:b/>
          <w:snapToGrid w:val="0"/>
          <w:sz w:val="24"/>
          <w:szCs w:val="24"/>
          <w:u w:val="single"/>
        </w:rPr>
        <w:t xml:space="preserve">ANALYSIS OF </w:t>
      </w:r>
      <w:r w:rsidR="006162E2">
        <w:rPr>
          <w:rFonts w:ascii="Times New Roman" w:eastAsia="Times New Roman" w:hAnsi="Times New Roman" w:cs="Times New Roman"/>
          <w:b/>
          <w:snapToGrid w:val="0"/>
          <w:sz w:val="24"/>
          <w:szCs w:val="24"/>
          <w:u w:val="single"/>
        </w:rPr>
        <w:br/>
      </w:r>
      <w:r w:rsidR="00521834" w:rsidRPr="00521834">
        <w:rPr>
          <w:rFonts w:ascii="Times New Roman" w:eastAsia="Times New Roman" w:hAnsi="Times New Roman" w:cs="Times New Roman"/>
          <w:b/>
          <w:snapToGrid w:val="0"/>
          <w:sz w:val="24"/>
          <w:szCs w:val="24"/>
          <w:u w:val="single"/>
        </w:rPr>
        <w:t xml:space="preserve">THE </w:t>
      </w:r>
      <w:r w:rsidR="006162E2">
        <w:rPr>
          <w:rFonts w:ascii="Times New Roman" w:eastAsia="Times New Roman" w:hAnsi="Times New Roman" w:cs="Times New Roman"/>
          <w:b/>
          <w:snapToGrid w:val="0"/>
          <w:sz w:val="24"/>
          <w:szCs w:val="24"/>
          <w:u w:val="single"/>
        </w:rPr>
        <w:t xml:space="preserve">NEW YORK STATE </w:t>
      </w:r>
      <w:r w:rsidR="00521834" w:rsidRPr="00521834">
        <w:rPr>
          <w:rFonts w:ascii="Times New Roman" w:eastAsia="Times New Roman" w:hAnsi="Times New Roman" w:cs="Times New Roman"/>
          <w:b/>
          <w:snapToGrid w:val="0"/>
          <w:sz w:val="24"/>
          <w:szCs w:val="24"/>
          <w:u w:val="single"/>
        </w:rPr>
        <w:t xml:space="preserve">COMPENSATION COMMITTEE’S </w:t>
      </w:r>
      <w:r w:rsidR="006162E2">
        <w:rPr>
          <w:rFonts w:ascii="Times New Roman" w:eastAsia="Times New Roman" w:hAnsi="Times New Roman" w:cs="Times New Roman"/>
          <w:b/>
          <w:snapToGrid w:val="0"/>
          <w:sz w:val="24"/>
          <w:szCs w:val="24"/>
          <w:u w:val="single"/>
        </w:rPr>
        <w:br/>
      </w:r>
      <w:r w:rsidR="00521834" w:rsidRPr="00521834">
        <w:rPr>
          <w:rFonts w:ascii="Times New Roman" w:eastAsia="Times New Roman" w:hAnsi="Times New Roman" w:cs="Times New Roman"/>
          <w:b/>
          <w:snapToGrid w:val="0"/>
          <w:sz w:val="24"/>
          <w:szCs w:val="24"/>
          <w:u w:val="single"/>
        </w:rPr>
        <w:t>DECEMBER 10, 2018 REPORT</w:t>
      </w:r>
    </w:p>
    <w:p w14:paraId="2E7A2220" w14:textId="462FFBEC" w:rsidR="00521834" w:rsidRDefault="00521834" w:rsidP="00AB2FB3">
      <w:pPr>
        <w:spacing w:after="0" w:line="480" w:lineRule="auto"/>
        <w:ind w:right="144"/>
        <w:jc w:val="both"/>
        <w:rPr>
          <w:rFonts w:ascii="Times New Roman" w:eastAsia="Times New Roman" w:hAnsi="Times New Roman" w:cs="Times New Roman"/>
          <w:snapToGrid w:val="0"/>
          <w:sz w:val="24"/>
          <w:szCs w:val="24"/>
        </w:rPr>
      </w:pPr>
    </w:p>
    <w:p w14:paraId="3A680513" w14:textId="222CE339" w:rsidR="007A7CD6" w:rsidRDefault="00B325D7" w:rsidP="00BA5AEF">
      <w:pPr>
        <w:spacing w:after="0" w:line="240" w:lineRule="auto"/>
        <w:ind w:right="144"/>
        <w:jc w:val="both"/>
        <w:rPr>
          <w:rFonts w:ascii="Times New Roman" w:eastAsia="Times New Roman" w:hAnsi="Times New Roman" w:cs="Times New Roman"/>
          <w:snapToGrid w:val="0"/>
          <w:sz w:val="24"/>
          <w:szCs w:val="24"/>
        </w:rPr>
      </w:pPr>
      <w:r w:rsidRPr="00347FD8">
        <w:rPr>
          <w:rFonts w:ascii="Times New Roman" w:eastAsia="Times New Roman" w:hAnsi="Times New Roman" w:cs="Times New Roman"/>
          <w:snapToGrid w:val="0"/>
          <w:sz w:val="24"/>
          <w:szCs w:val="24"/>
        </w:rPr>
        <w:t>As hereinbelow demonstrated</w:t>
      </w:r>
      <w:r w:rsidR="007A7CD6">
        <w:rPr>
          <w:rFonts w:ascii="Times New Roman" w:eastAsia="Times New Roman" w:hAnsi="Times New Roman" w:cs="Times New Roman"/>
          <w:snapToGrid w:val="0"/>
          <w:sz w:val="24"/>
          <w:szCs w:val="24"/>
        </w:rPr>
        <w:t>,</w:t>
      </w:r>
      <w:r w:rsidRPr="00347FD8">
        <w:rPr>
          <w:rFonts w:ascii="Times New Roman" w:eastAsia="Times New Roman" w:hAnsi="Times New Roman" w:cs="Times New Roman"/>
          <w:snapToGrid w:val="0"/>
          <w:sz w:val="24"/>
          <w:szCs w:val="24"/>
        </w:rPr>
        <w:t xml:space="preserve"> the </w:t>
      </w:r>
      <w:r w:rsidR="002A4F2A">
        <w:rPr>
          <w:rFonts w:ascii="Times New Roman" w:eastAsia="Times New Roman" w:hAnsi="Times New Roman" w:cs="Times New Roman"/>
          <w:snapToGrid w:val="0"/>
          <w:sz w:val="24"/>
          <w:szCs w:val="24"/>
        </w:rPr>
        <w:t xml:space="preserve">December 10, 2018 Report and transmitting letter of the New York State </w:t>
      </w:r>
      <w:r w:rsidRPr="00347FD8">
        <w:rPr>
          <w:rFonts w:ascii="Times New Roman" w:eastAsia="Times New Roman" w:hAnsi="Times New Roman" w:cs="Times New Roman"/>
          <w:snapToGrid w:val="0"/>
          <w:sz w:val="24"/>
          <w:szCs w:val="24"/>
        </w:rPr>
        <w:t>Compensation Committee are</w:t>
      </w:r>
      <w:r w:rsidR="000C4C32">
        <w:rPr>
          <w:rFonts w:ascii="Times New Roman" w:eastAsia="Times New Roman" w:hAnsi="Times New Roman" w:cs="Times New Roman"/>
          <w:snapToGrid w:val="0"/>
          <w:sz w:val="24"/>
          <w:szCs w:val="24"/>
        </w:rPr>
        <w:t xml:space="preserve">, </w:t>
      </w:r>
      <w:r w:rsidR="00003AF2">
        <w:rPr>
          <w:rFonts w:ascii="Times New Roman" w:eastAsia="Times New Roman" w:hAnsi="Times New Roman" w:cs="Times New Roman"/>
          <w:snapToGrid w:val="0"/>
          <w:sz w:val="24"/>
          <w:szCs w:val="24"/>
        </w:rPr>
        <w:t xml:space="preserve">throughout, </w:t>
      </w:r>
      <w:r w:rsidR="000C4C32">
        <w:rPr>
          <w:rFonts w:ascii="Times New Roman" w:eastAsia="Times New Roman" w:hAnsi="Times New Roman" w:cs="Times New Roman"/>
          <w:snapToGrid w:val="0"/>
          <w:sz w:val="24"/>
          <w:szCs w:val="24"/>
        </w:rPr>
        <w:t xml:space="preserve">knowingly false and deceitful, </w:t>
      </w:r>
      <w:r w:rsidR="005D2923">
        <w:rPr>
          <w:rFonts w:ascii="Times New Roman" w:eastAsia="Times New Roman" w:hAnsi="Times New Roman" w:cs="Times New Roman"/>
          <w:snapToGrid w:val="0"/>
          <w:sz w:val="24"/>
          <w:szCs w:val="24"/>
        </w:rPr>
        <w:t xml:space="preserve">violative of </w:t>
      </w:r>
      <w:r w:rsidR="007A7CD6">
        <w:rPr>
          <w:rFonts w:ascii="Times New Roman" w:eastAsia="Times New Roman" w:hAnsi="Times New Roman" w:cs="Times New Roman"/>
          <w:snapToGrid w:val="0"/>
          <w:sz w:val="24"/>
          <w:szCs w:val="24"/>
        </w:rPr>
        <w:t>a variety of Penal Law provisions.  Among these:</w:t>
      </w:r>
    </w:p>
    <w:p w14:paraId="489AB019" w14:textId="5B604F18" w:rsidR="00BC7FC3" w:rsidRPr="00BC7FC3" w:rsidRDefault="002A4F2A" w:rsidP="00A6652B">
      <w:pPr>
        <w:ind w:left="720" w:right="720"/>
        <w:jc w:val="both"/>
        <w:rPr>
          <w:rFonts w:ascii="Times New Roman" w:hAnsi="Times New Roman" w:cs="Times New Roman"/>
          <w:sz w:val="24"/>
          <w:szCs w:val="24"/>
        </w:rPr>
      </w:pPr>
      <w:r>
        <w:rPr>
          <w:rFonts w:ascii="Times New Roman" w:hAnsi="Times New Roman" w:cs="Times New Roman"/>
          <w:sz w:val="24"/>
          <w:szCs w:val="24"/>
        </w:rPr>
        <w:br/>
      </w:r>
      <w:r w:rsidR="00BC7FC3" w:rsidRPr="00BC7FC3">
        <w:rPr>
          <w:rFonts w:ascii="Times New Roman" w:hAnsi="Times New Roman" w:cs="Times New Roman"/>
          <w:snapToGrid w:val="0"/>
          <w:sz w:val="24"/>
          <w:szCs w:val="24"/>
        </w:rPr>
        <w:t>“offering a false instrument for filing in the first degree” (</w:t>
      </w:r>
      <w:r w:rsidR="00792409">
        <w:rPr>
          <w:rFonts w:ascii="Times New Roman" w:hAnsi="Times New Roman" w:cs="Times New Roman"/>
          <w:snapToGrid w:val="0"/>
          <w:sz w:val="24"/>
          <w:szCs w:val="24"/>
        </w:rPr>
        <w:t xml:space="preserve">Penal Law </w:t>
      </w:r>
      <w:r w:rsidR="00BC7FC3" w:rsidRPr="00BC7FC3">
        <w:rPr>
          <w:rFonts w:ascii="Times New Roman" w:hAnsi="Times New Roman" w:cs="Times New Roman"/>
          <w:snapToGrid w:val="0"/>
          <w:sz w:val="24"/>
          <w:szCs w:val="24"/>
        </w:rPr>
        <w:t>§175.35)</w:t>
      </w:r>
      <w:r w:rsidR="00BC7FC3" w:rsidRPr="00BC7FC3">
        <w:rPr>
          <w:rFonts w:ascii="Times New Roman" w:hAnsi="Times New Roman" w:cs="Times New Roman"/>
          <w:sz w:val="24"/>
          <w:szCs w:val="24"/>
        </w:rPr>
        <w:t xml:space="preserve"> </w:t>
      </w:r>
    </w:p>
    <w:p w14:paraId="1EFA83D1" w14:textId="1D470515" w:rsidR="009414FE" w:rsidRPr="00BC7FC3" w:rsidRDefault="00A6652B" w:rsidP="00A6652B">
      <w:pPr>
        <w:ind w:left="720" w:right="720"/>
        <w:jc w:val="both"/>
        <w:rPr>
          <w:rFonts w:ascii="Times New Roman" w:hAnsi="Times New Roman" w:cs="Times New Roman"/>
          <w:sz w:val="24"/>
          <w:szCs w:val="24"/>
        </w:rPr>
      </w:pPr>
      <w:r w:rsidRPr="00BC7FC3">
        <w:rPr>
          <w:rFonts w:ascii="Times New Roman" w:hAnsi="Times New Roman" w:cs="Times New Roman"/>
          <w:sz w:val="24"/>
          <w:szCs w:val="24"/>
        </w:rPr>
        <w:t>“defrauding the government” (</w:t>
      </w:r>
      <w:r w:rsidR="00347FD8" w:rsidRPr="00BC7FC3">
        <w:rPr>
          <w:rFonts w:ascii="Times New Roman" w:hAnsi="Times New Roman" w:cs="Times New Roman"/>
          <w:sz w:val="24"/>
          <w:szCs w:val="24"/>
        </w:rPr>
        <w:t xml:space="preserve">Penal Law </w:t>
      </w:r>
      <w:r w:rsidRPr="00BC7FC3">
        <w:rPr>
          <w:rFonts w:ascii="Times New Roman" w:hAnsi="Times New Roman" w:cs="Times New Roman"/>
          <w:sz w:val="24"/>
          <w:szCs w:val="24"/>
        </w:rPr>
        <w:t xml:space="preserve">§195.20), </w:t>
      </w:r>
    </w:p>
    <w:p w14:paraId="094D9E68" w14:textId="6BB2652A" w:rsidR="009414FE" w:rsidRPr="00BC7FC3" w:rsidRDefault="009414FE" w:rsidP="00A6652B">
      <w:pPr>
        <w:ind w:left="720" w:right="720"/>
        <w:jc w:val="both"/>
        <w:rPr>
          <w:rFonts w:ascii="Times New Roman" w:hAnsi="Times New Roman" w:cs="Times New Roman"/>
          <w:sz w:val="24"/>
          <w:szCs w:val="24"/>
        </w:rPr>
      </w:pPr>
      <w:r w:rsidRPr="00BC7FC3">
        <w:rPr>
          <w:rFonts w:ascii="Times New Roman" w:hAnsi="Times New Roman" w:cs="Times New Roman"/>
          <w:sz w:val="24"/>
          <w:szCs w:val="24"/>
        </w:rPr>
        <w:t>“scheme to defraud in the first degree” (</w:t>
      </w:r>
      <w:r w:rsidR="002A4F2A" w:rsidRPr="00BC7FC3">
        <w:rPr>
          <w:rFonts w:ascii="Times New Roman" w:hAnsi="Times New Roman" w:cs="Times New Roman"/>
          <w:sz w:val="24"/>
          <w:szCs w:val="24"/>
        </w:rPr>
        <w:t xml:space="preserve">Penal </w:t>
      </w:r>
      <w:r w:rsidRPr="00BC7FC3">
        <w:rPr>
          <w:rFonts w:ascii="Times New Roman" w:hAnsi="Times New Roman" w:cs="Times New Roman"/>
          <w:sz w:val="24"/>
          <w:szCs w:val="24"/>
        </w:rPr>
        <w:t>§190.65),</w:t>
      </w:r>
    </w:p>
    <w:p w14:paraId="51D340F8" w14:textId="0F40DBAD" w:rsidR="007A7CD6" w:rsidRDefault="007A7CD6" w:rsidP="007A7CD6">
      <w:pPr>
        <w:spacing w:after="0" w:line="240" w:lineRule="auto"/>
        <w:ind w:left="720" w:right="72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“PUBLIC TRUST ACT:</w:t>
      </w:r>
    </w:p>
    <w:p w14:paraId="32826E62" w14:textId="3424D436" w:rsidR="007A7CD6" w:rsidRDefault="007A7CD6" w:rsidP="007A7CD6">
      <w:pPr>
        <w:spacing w:after="0" w:line="240" w:lineRule="auto"/>
        <w:ind w:left="720" w:right="72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w:t>
      </w:r>
      <w:r w:rsidR="00347FD8" w:rsidRPr="00BC7FC3">
        <w:rPr>
          <w:rFonts w:ascii="Times New Roman" w:hAnsi="Times New Roman" w:cs="Times New Roman"/>
          <w:snapToGrid w:val="0"/>
          <w:color w:val="000000"/>
          <w:sz w:val="24"/>
          <w:szCs w:val="24"/>
        </w:rPr>
        <w:t>corrupting the government in the first degree”</w:t>
      </w:r>
      <w:r>
        <w:rPr>
          <w:rFonts w:ascii="Times New Roman" w:hAnsi="Times New Roman" w:cs="Times New Roman"/>
          <w:snapToGrid w:val="0"/>
          <w:color w:val="000000"/>
          <w:sz w:val="24"/>
          <w:szCs w:val="24"/>
        </w:rPr>
        <w:t xml:space="preserve"> </w:t>
      </w:r>
      <w:r w:rsidR="00347FD8" w:rsidRPr="00BC7FC3">
        <w:rPr>
          <w:rFonts w:ascii="Times New Roman" w:hAnsi="Times New Roman" w:cs="Times New Roman"/>
          <w:snapToGrid w:val="0"/>
          <w:color w:val="000000"/>
          <w:sz w:val="24"/>
          <w:szCs w:val="24"/>
        </w:rPr>
        <w:t>(</w:t>
      </w:r>
      <w:hyperlink r:id="rId8" w:history="1">
        <w:r w:rsidR="00347FD8" w:rsidRPr="00BC7FC3">
          <w:rPr>
            <w:rFonts w:ascii="Times New Roman" w:hAnsi="Times New Roman" w:cs="Times New Roman"/>
            <w:color w:val="000000"/>
            <w:sz w:val="24"/>
            <w:szCs w:val="24"/>
          </w:rPr>
          <w:t>Penal Law §496.05</w:t>
        </w:r>
      </w:hyperlink>
      <w:r w:rsidR="00347FD8" w:rsidRPr="00BC7FC3">
        <w:rPr>
          <w:rFonts w:ascii="Times New Roman" w:hAnsi="Times New Roman" w:cs="Times New Roman"/>
          <w:snapToGrid w:val="0"/>
          <w:color w:val="000000"/>
          <w:sz w:val="24"/>
          <w:szCs w:val="24"/>
        </w:rPr>
        <w:t>)</w:t>
      </w:r>
      <w:r w:rsidR="002A4F2A" w:rsidRPr="00BC7FC3">
        <w:rPr>
          <w:rFonts w:ascii="Times New Roman" w:hAnsi="Times New Roman" w:cs="Times New Roman"/>
          <w:snapToGrid w:val="0"/>
          <w:color w:val="000000"/>
          <w:sz w:val="24"/>
          <w:szCs w:val="24"/>
        </w:rPr>
        <w:t xml:space="preserve">; </w:t>
      </w:r>
    </w:p>
    <w:p w14:paraId="5C9669E9" w14:textId="776D6102" w:rsidR="00347FD8" w:rsidRDefault="007A7CD6" w:rsidP="007A7CD6">
      <w:pPr>
        <w:spacing w:after="0" w:line="240" w:lineRule="auto"/>
        <w:ind w:left="720" w:right="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47FD8" w:rsidRPr="00BC7FC3">
        <w:rPr>
          <w:rFonts w:ascii="Times New Roman" w:hAnsi="Times New Roman" w:cs="Times New Roman"/>
          <w:color w:val="000000"/>
          <w:sz w:val="24"/>
          <w:szCs w:val="24"/>
        </w:rPr>
        <w:t>Public corruption"  (</w:t>
      </w:r>
      <w:hyperlink r:id="rId9" w:history="1">
        <w:r w:rsidR="00347FD8" w:rsidRPr="00BC7FC3">
          <w:rPr>
            <w:rFonts w:ascii="Times New Roman" w:hAnsi="Times New Roman" w:cs="Times New Roman"/>
            <w:color w:val="000000"/>
            <w:sz w:val="24"/>
            <w:szCs w:val="24"/>
          </w:rPr>
          <w:t>Penal Law §496.06</w:t>
        </w:r>
      </w:hyperlink>
      <w:r w:rsidR="00347FD8" w:rsidRPr="00BC7FC3">
        <w:rPr>
          <w:rFonts w:ascii="Times New Roman" w:hAnsi="Times New Roman" w:cs="Times New Roman"/>
          <w:color w:val="000000"/>
          <w:sz w:val="24"/>
          <w:szCs w:val="24"/>
        </w:rPr>
        <w:t>)</w:t>
      </w:r>
    </w:p>
    <w:p w14:paraId="3A2F783F" w14:textId="77777777" w:rsidR="007A7CD6" w:rsidRDefault="007A7CD6" w:rsidP="007A7CD6">
      <w:pPr>
        <w:spacing w:after="0" w:line="240" w:lineRule="auto"/>
        <w:ind w:left="720" w:right="720"/>
        <w:jc w:val="both"/>
        <w:rPr>
          <w:rFonts w:ascii="Times New Roman" w:hAnsi="Times New Roman" w:cs="Times New Roman"/>
          <w:color w:val="000000"/>
          <w:sz w:val="24"/>
          <w:szCs w:val="24"/>
        </w:rPr>
      </w:pPr>
    </w:p>
    <w:p w14:paraId="04548872" w14:textId="7776C1BE" w:rsidR="00521834" w:rsidRDefault="00521834" w:rsidP="000D48D4">
      <w:pPr>
        <w:spacing w:after="0" w:line="480" w:lineRule="auto"/>
        <w:ind w:right="144"/>
        <w:jc w:val="center"/>
        <w:rPr>
          <w:rFonts w:ascii="Times New Roman" w:eastAsia="Times New Roman" w:hAnsi="Times New Roman" w:cs="Times New Roman"/>
          <w:snapToGrid w:val="0"/>
          <w:sz w:val="24"/>
          <w:szCs w:val="24"/>
        </w:rPr>
      </w:pPr>
      <w:r w:rsidRPr="00521834">
        <w:rPr>
          <w:rFonts w:ascii="Times New Roman" w:eastAsia="Times New Roman" w:hAnsi="Times New Roman" w:cs="Times New Roman"/>
          <w:b/>
          <w:snapToGrid w:val="0"/>
          <w:sz w:val="24"/>
          <w:szCs w:val="24"/>
          <w:u w:val="single"/>
        </w:rPr>
        <w:t>T</w:t>
      </w:r>
      <w:r w:rsidR="000D48D4">
        <w:rPr>
          <w:rFonts w:ascii="Times New Roman" w:eastAsia="Times New Roman" w:hAnsi="Times New Roman" w:cs="Times New Roman"/>
          <w:b/>
          <w:snapToGrid w:val="0"/>
          <w:sz w:val="24"/>
          <w:szCs w:val="24"/>
          <w:u w:val="single"/>
        </w:rPr>
        <w:t>he Committee’s T</w:t>
      </w:r>
      <w:r w:rsidRPr="00521834">
        <w:rPr>
          <w:rFonts w:ascii="Times New Roman" w:eastAsia="Times New Roman" w:hAnsi="Times New Roman" w:cs="Times New Roman"/>
          <w:b/>
          <w:snapToGrid w:val="0"/>
          <w:sz w:val="24"/>
          <w:szCs w:val="24"/>
          <w:u w:val="single"/>
        </w:rPr>
        <w:t>ransmitting Letter</w:t>
      </w:r>
    </w:p>
    <w:p w14:paraId="62B02974" w14:textId="6E69A341" w:rsidR="00516692" w:rsidRDefault="00A66743"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Compensation Committee’s </w:t>
      </w:r>
      <w:r w:rsidR="000D48D4">
        <w:rPr>
          <w:rFonts w:ascii="Times New Roman" w:eastAsia="Times New Roman" w:hAnsi="Times New Roman" w:cs="Times New Roman"/>
          <w:snapToGrid w:val="0"/>
          <w:sz w:val="24"/>
          <w:szCs w:val="24"/>
        </w:rPr>
        <w:t>R</w:t>
      </w:r>
      <w:r>
        <w:rPr>
          <w:rFonts w:ascii="Times New Roman" w:eastAsia="Times New Roman" w:hAnsi="Times New Roman" w:cs="Times New Roman"/>
          <w:snapToGrid w:val="0"/>
          <w:sz w:val="24"/>
          <w:szCs w:val="24"/>
        </w:rPr>
        <w:t>eport</w:t>
      </w:r>
      <w:r w:rsidR="005F1878">
        <w:rPr>
          <w:rFonts w:ascii="Times New Roman" w:eastAsia="Times New Roman" w:hAnsi="Times New Roman" w:cs="Times New Roman"/>
          <w:snapToGrid w:val="0"/>
          <w:sz w:val="24"/>
          <w:szCs w:val="24"/>
        </w:rPr>
        <w:t xml:space="preserve"> </w:t>
      </w:r>
      <w:r w:rsidR="00516692">
        <w:rPr>
          <w:rFonts w:ascii="Times New Roman" w:eastAsia="Times New Roman" w:hAnsi="Times New Roman" w:cs="Times New Roman"/>
          <w:snapToGrid w:val="0"/>
          <w:sz w:val="24"/>
          <w:szCs w:val="24"/>
        </w:rPr>
        <w:t xml:space="preserve">has no title page.  It goes directly from a transmitting </w:t>
      </w:r>
      <w:proofErr w:type="spellStart"/>
      <w:r w:rsidR="00516692">
        <w:rPr>
          <w:rFonts w:ascii="Times New Roman" w:eastAsia="Times New Roman" w:hAnsi="Times New Roman" w:cs="Times New Roman"/>
          <w:snapToGrid w:val="0"/>
          <w:sz w:val="24"/>
          <w:szCs w:val="24"/>
        </w:rPr>
        <w:t>cov</w:t>
      </w:r>
      <w:r w:rsidR="00BC7FC3">
        <w:rPr>
          <w:rFonts w:ascii="Times New Roman" w:eastAsia="Times New Roman" w:hAnsi="Times New Roman" w:cs="Times New Roman"/>
          <w:snapToGrid w:val="0"/>
          <w:sz w:val="24"/>
          <w:szCs w:val="24"/>
        </w:rPr>
        <w:t>erl</w:t>
      </w:r>
      <w:r w:rsidR="00516692">
        <w:rPr>
          <w:rFonts w:ascii="Times New Roman" w:eastAsia="Times New Roman" w:hAnsi="Times New Roman" w:cs="Times New Roman"/>
          <w:snapToGrid w:val="0"/>
          <w:sz w:val="24"/>
          <w:szCs w:val="24"/>
        </w:rPr>
        <w:t>etter</w:t>
      </w:r>
      <w:proofErr w:type="spellEnd"/>
      <w:r w:rsidR="00516692">
        <w:rPr>
          <w:rFonts w:ascii="Times New Roman" w:eastAsia="Times New Roman" w:hAnsi="Times New Roman" w:cs="Times New Roman"/>
          <w:snapToGrid w:val="0"/>
          <w:sz w:val="24"/>
          <w:szCs w:val="24"/>
        </w:rPr>
        <w:t xml:space="preserve"> to a table of contents.</w:t>
      </w:r>
    </w:p>
    <w:p w14:paraId="158A7794" w14:textId="77777777" w:rsidR="00516692" w:rsidRDefault="00516692" w:rsidP="00AB7928">
      <w:pPr>
        <w:spacing w:after="0" w:line="240" w:lineRule="auto"/>
        <w:jc w:val="both"/>
        <w:rPr>
          <w:rFonts w:ascii="Times New Roman" w:eastAsia="Times New Roman" w:hAnsi="Times New Roman" w:cs="Times New Roman"/>
          <w:snapToGrid w:val="0"/>
          <w:sz w:val="24"/>
          <w:szCs w:val="24"/>
        </w:rPr>
      </w:pPr>
    </w:p>
    <w:p w14:paraId="6671E408" w14:textId="6CD27087" w:rsidR="00912C50" w:rsidRDefault="00516692"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transmitting </w:t>
      </w:r>
      <w:proofErr w:type="spellStart"/>
      <w:r w:rsidR="008D0E5E">
        <w:rPr>
          <w:rFonts w:ascii="Times New Roman" w:eastAsia="Times New Roman" w:hAnsi="Times New Roman" w:cs="Times New Roman"/>
          <w:snapToGrid w:val="0"/>
          <w:sz w:val="24"/>
          <w:szCs w:val="24"/>
        </w:rPr>
        <w:t>cover</w:t>
      </w:r>
      <w:r>
        <w:rPr>
          <w:rFonts w:ascii="Times New Roman" w:eastAsia="Times New Roman" w:hAnsi="Times New Roman" w:cs="Times New Roman"/>
          <w:snapToGrid w:val="0"/>
          <w:sz w:val="24"/>
          <w:szCs w:val="24"/>
        </w:rPr>
        <w:t>letter</w:t>
      </w:r>
      <w:proofErr w:type="spellEnd"/>
      <w:r w:rsidR="00036E7A">
        <w:rPr>
          <w:rFonts w:ascii="Times New Roman" w:eastAsia="Times New Roman" w:hAnsi="Times New Roman" w:cs="Times New Roman"/>
          <w:snapToGrid w:val="0"/>
          <w:sz w:val="24"/>
          <w:szCs w:val="24"/>
        </w:rPr>
        <w:t>, fr</w:t>
      </w:r>
      <w:r w:rsidR="005F1878">
        <w:rPr>
          <w:rFonts w:ascii="Times New Roman" w:eastAsia="Times New Roman" w:hAnsi="Times New Roman" w:cs="Times New Roman"/>
          <w:snapToGrid w:val="0"/>
          <w:sz w:val="24"/>
          <w:szCs w:val="24"/>
        </w:rPr>
        <w:t>om the Committee’s chair, H. Carl McCall</w:t>
      </w:r>
      <w:r w:rsidR="00036E7A">
        <w:rPr>
          <w:rFonts w:ascii="Times New Roman" w:eastAsia="Times New Roman" w:hAnsi="Times New Roman" w:cs="Times New Roman"/>
          <w:snapToGrid w:val="0"/>
          <w:sz w:val="24"/>
          <w:szCs w:val="24"/>
        </w:rPr>
        <w:t xml:space="preserve">, </w:t>
      </w:r>
      <w:r w:rsidR="00A66743">
        <w:rPr>
          <w:rFonts w:ascii="Times New Roman" w:eastAsia="Times New Roman" w:hAnsi="Times New Roman" w:cs="Times New Roman"/>
          <w:snapToGrid w:val="0"/>
          <w:sz w:val="24"/>
          <w:szCs w:val="24"/>
        </w:rPr>
        <w:t>is a</w:t>
      </w:r>
      <w:r w:rsidR="00912C50" w:rsidRPr="00AB7928">
        <w:rPr>
          <w:rFonts w:ascii="Times New Roman" w:eastAsia="Times New Roman" w:hAnsi="Times New Roman" w:cs="Times New Roman"/>
          <w:snapToGrid w:val="0"/>
          <w:sz w:val="24"/>
          <w:szCs w:val="24"/>
        </w:rPr>
        <w:t xml:space="preserve">ddressed to </w:t>
      </w:r>
      <w:r w:rsidR="00B16D29">
        <w:rPr>
          <w:rFonts w:ascii="Times New Roman" w:eastAsia="Times New Roman" w:hAnsi="Times New Roman" w:cs="Times New Roman"/>
          <w:snapToGrid w:val="0"/>
          <w:sz w:val="24"/>
          <w:szCs w:val="24"/>
        </w:rPr>
        <w:t>the “</w:t>
      </w:r>
      <w:r w:rsidR="00A66743">
        <w:rPr>
          <w:rFonts w:ascii="Times New Roman" w:eastAsia="Times New Roman" w:hAnsi="Times New Roman" w:cs="Times New Roman"/>
          <w:snapToGrid w:val="0"/>
          <w:sz w:val="24"/>
          <w:szCs w:val="24"/>
        </w:rPr>
        <w:t>thr</w:t>
      </w:r>
      <w:r w:rsidR="00912C50" w:rsidRPr="00AB7928">
        <w:rPr>
          <w:rFonts w:ascii="Times New Roman" w:eastAsia="Times New Roman" w:hAnsi="Times New Roman" w:cs="Times New Roman"/>
          <w:snapToGrid w:val="0"/>
          <w:sz w:val="24"/>
          <w:szCs w:val="24"/>
        </w:rPr>
        <w:t>ee-men</w:t>
      </w:r>
      <w:r w:rsidR="00BC7FC3">
        <w:rPr>
          <w:rFonts w:ascii="Times New Roman" w:eastAsia="Times New Roman" w:hAnsi="Times New Roman" w:cs="Times New Roman"/>
          <w:snapToGrid w:val="0"/>
          <w:sz w:val="24"/>
          <w:szCs w:val="24"/>
        </w:rPr>
        <w:t>-</w:t>
      </w:r>
      <w:r w:rsidR="00912C50" w:rsidRPr="00AB7928">
        <w:rPr>
          <w:rFonts w:ascii="Times New Roman" w:eastAsia="Times New Roman" w:hAnsi="Times New Roman" w:cs="Times New Roman"/>
          <w:snapToGrid w:val="0"/>
          <w:sz w:val="24"/>
          <w:szCs w:val="24"/>
        </w:rPr>
        <w:t>in</w:t>
      </w:r>
      <w:r w:rsidR="00BC7FC3">
        <w:rPr>
          <w:rFonts w:ascii="Times New Roman" w:eastAsia="Times New Roman" w:hAnsi="Times New Roman" w:cs="Times New Roman"/>
          <w:snapToGrid w:val="0"/>
          <w:sz w:val="24"/>
          <w:szCs w:val="24"/>
        </w:rPr>
        <w:t>-</w:t>
      </w:r>
      <w:r w:rsidR="00912C50" w:rsidRPr="00AB7928">
        <w:rPr>
          <w:rFonts w:ascii="Times New Roman" w:eastAsia="Times New Roman" w:hAnsi="Times New Roman" w:cs="Times New Roman"/>
          <w:snapToGrid w:val="0"/>
          <w:sz w:val="24"/>
          <w:szCs w:val="24"/>
        </w:rPr>
        <w:t>a</w:t>
      </w:r>
      <w:r w:rsidR="00BC7FC3">
        <w:rPr>
          <w:rFonts w:ascii="Times New Roman" w:eastAsia="Times New Roman" w:hAnsi="Times New Roman" w:cs="Times New Roman"/>
          <w:snapToGrid w:val="0"/>
          <w:sz w:val="24"/>
          <w:szCs w:val="24"/>
        </w:rPr>
        <w:t>-</w:t>
      </w:r>
      <w:r w:rsidR="00912C50" w:rsidRPr="00AB7928">
        <w:rPr>
          <w:rFonts w:ascii="Times New Roman" w:eastAsia="Times New Roman" w:hAnsi="Times New Roman" w:cs="Times New Roman"/>
          <w:snapToGrid w:val="0"/>
          <w:sz w:val="24"/>
          <w:szCs w:val="24"/>
        </w:rPr>
        <w:t>room</w:t>
      </w:r>
      <w:r w:rsidR="00B16D29">
        <w:rPr>
          <w:rFonts w:ascii="Times New Roman" w:eastAsia="Times New Roman" w:hAnsi="Times New Roman" w:cs="Times New Roman"/>
          <w:snapToGrid w:val="0"/>
          <w:sz w:val="24"/>
          <w:szCs w:val="24"/>
        </w:rPr>
        <w:t>”</w:t>
      </w:r>
      <w:r w:rsidR="00912C50" w:rsidRPr="00AB7928">
        <w:rPr>
          <w:rFonts w:ascii="Times New Roman" w:eastAsia="Times New Roman" w:hAnsi="Times New Roman" w:cs="Times New Roman"/>
          <w:snapToGrid w:val="0"/>
          <w:sz w:val="24"/>
          <w:szCs w:val="24"/>
        </w:rPr>
        <w:t xml:space="preserve"> who had </w:t>
      </w:r>
      <w:r w:rsidR="00501619">
        <w:rPr>
          <w:rFonts w:ascii="Times New Roman" w:eastAsia="Times New Roman" w:hAnsi="Times New Roman" w:cs="Times New Roman"/>
          <w:snapToGrid w:val="0"/>
          <w:sz w:val="24"/>
          <w:szCs w:val="24"/>
        </w:rPr>
        <w:t xml:space="preserve">inserted </w:t>
      </w:r>
      <w:r w:rsidR="00A63AEC">
        <w:rPr>
          <w:rFonts w:ascii="Times New Roman" w:eastAsia="Times New Roman" w:hAnsi="Times New Roman" w:cs="Times New Roman"/>
          <w:snapToGrid w:val="0"/>
          <w:sz w:val="24"/>
          <w:szCs w:val="24"/>
        </w:rPr>
        <w:t>Part HHH</w:t>
      </w:r>
      <w:r w:rsidR="00BC7FC3">
        <w:rPr>
          <w:rFonts w:ascii="Times New Roman" w:eastAsia="Times New Roman" w:hAnsi="Times New Roman" w:cs="Times New Roman"/>
          <w:snapToGrid w:val="0"/>
          <w:sz w:val="24"/>
          <w:szCs w:val="24"/>
        </w:rPr>
        <w:t>,</w:t>
      </w:r>
      <w:r w:rsidR="009720B6">
        <w:rPr>
          <w:rFonts w:ascii="Times New Roman" w:eastAsia="Times New Roman" w:hAnsi="Times New Roman" w:cs="Times New Roman"/>
          <w:snapToGrid w:val="0"/>
          <w:sz w:val="24"/>
          <w:szCs w:val="24"/>
        </w:rPr>
        <w:t xml:space="preserve"> </w:t>
      </w:r>
      <w:r w:rsidR="00036E7A">
        <w:rPr>
          <w:rFonts w:ascii="Times New Roman" w:eastAsia="Times New Roman" w:hAnsi="Times New Roman" w:cs="Times New Roman"/>
          <w:snapToGrid w:val="0"/>
          <w:sz w:val="24"/>
          <w:szCs w:val="24"/>
        </w:rPr>
        <w:t>establishing the Committee</w:t>
      </w:r>
      <w:r w:rsidR="00BC7FC3">
        <w:rPr>
          <w:rFonts w:ascii="Times New Roman" w:eastAsia="Times New Roman" w:hAnsi="Times New Roman" w:cs="Times New Roman"/>
          <w:snapToGrid w:val="0"/>
          <w:sz w:val="24"/>
          <w:szCs w:val="24"/>
        </w:rPr>
        <w:t>,</w:t>
      </w:r>
      <w:r w:rsidR="00036E7A">
        <w:rPr>
          <w:rFonts w:ascii="Times New Roman" w:eastAsia="Times New Roman" w:hAnsi="Times New Roman" w:cs="Times New Roman"/>
          <w:snapToGrid w:val="0"/>
          <w:sz w:val="24"/>
          <w:szCs w:val="24"/>
        </w:rPr>
        <w:t xml:space="preserve"> </w:t>
      </w:r>
      <w:r w:rsidR="00501619">
        <w:rPr>
          <w:rFonts w:ascii="Times New Roman" w:eastAsia="Times New Roman" w:hAnsi="Times New Roman" w:cs="Times New Roman"/>
          <w:snapToGrid w:val="0"/>
          <w:sz w:val="24"/>
          <w:szCs w:val="24"/>
        </w:rPr>
        <w:t>into</w:t>
      </w:r>
      <w:r w:rsidR="009720B6">
        <w:rPr>
          <w:rFonts w:ascii="Times New Roman" w:eastAsia="Times New Roman" w:hAnsi="Times New Roman" w:cs="Times New Roman"/>
          <w:snapToGrid w:val="0"/>
          <w:sz w:val="24"/>
          <w:szCs w:val="24"/>
        </w:rPr>
        <w:t xml:space="preserve"> Revenue Budget Bill #</w:t>
      </w:r>
      <w:r w:rsidR="00A970A9">
        <w:rPr>
          <w:rFonts w:ascii="Times New Roman" w:eastAsia="Times New Roman" w:hAnsi="Times New Roman" w:cs="Times New Roman"/>
          <w:snapToGrid w:val="0"/>
          <w:sz w:val="24"/>
          <w:szCs w:val="24"/>
        </w:rPr>
        <w:t>S.</w:t>
      </w:r>
      <w:r w:rsidR="009720B6">
        <w:rPr>
          <w:rFonts w:ascii="Times New Roman" w:eastAsia="Times New Roman" w:hAnsi="Times New Roman" w:cs="Times New Roman"/>
          <w:snapToGrid w:val="0"/>
          <w:sz w:val="24"/>
          <w:szCs w:val="24"/>
        </w:rPr>
        <w:t>7509-C/</w:t>
      </w:r>
      <w:r w:rsidR="00A970A9">
        <w:rPr>
          <w:rFonts w:ascii="Times New Roman" w:eastAsia="Times New Roman" w:hAnsi="Times New Roman" w:cs="Times New Roman"/>
          <w:snapToGrid w:val="0"/>
          <w:sz w:val="24"/>
          <w:szCs w:val="24"/>
        </w:rPr>
        <w:t>A.</w:t>
      </w:r>
      <w:r w:rsidR="009720B6">
        <w:rPr>
          <w:rFonts w:ascii="Times New Roman" w:eastAsia="Times New Roman" w:hAnsi="Times New Roman" w:cs="Times New Roman"/>
          <w:snapToGrid w:val="0"/>
          <w:sz w:val="24"/>
          <w:szCs w:val="24"/>
        </w:rPr>
        <w:t>9505-C</w:t>
      </w:r>
      <w:r w:rsidR="00912C50" w:rsidRPr="00AB7928">
        <w:rPr>
          <w:rFonts w:ascii="Times New Roman" w:eastAsia="Times New Roman" w:hAnsi="Times New Roman" w:cs="Times New Roman"/>
          <w:snapToGrid w:val="0"/>
          <w:sz w:val="24"/>
          <w:szCs w:val="24"/>
        </w:rPr>
        <w:t xml:space="preserve"> – </w:t>
      </w:r>
      <w:r w:rsidR="00A66743">
        <w:rPr>
          <w:rFonts w:ascii="Times New Roman" w:eastAsia="Times New Roman" w:hAnsi="Times New Roman" w:cs="Times New Roman"/>
          <w:snapToGrid w:val="0"/>
          <w:sz w:val="24"/>
          <w:szCs w:val="24"/>
        </w:rPr>
        <w:t xml:space="preserve">Governor </w:t>
      </w:r>
      <w:r w:rsidR="00E83DF5">
        <w:rPr>
          <w:rFonts w:ascii="Times New Roman" w:eastAsia="Times New Roman" w:hAnsi="Times New Roman" w:cs="Times New Roman"/>
          <w:snapToGrid w:val="0"/>
          <w:sz w:val="24"/>
          <w:szCs w:val="24"/>
        </w:rPr>
        <w:t xml:space="preserve">Andrew </w:t>
      </w:r>
      <w:r w:rsidR="00A66743">
        <w:rPr>
          <w:rFonts w:ascii="Times New Roman" w:eastAsia="Times New Roman" w:hAnsi="Times New Roman" w:cs="Times New Roman"/>
          <w:snapToGrid w:val="0"/>
          <w:sz w:val="24"/>
          <w:szCs w:val="24"/>
        </w:rPr>
        <w:t xml:space="preserve">Cuomo, then Temporary Senate President </w:t>
      </w:r>
      <w:r w:rsidR="00E83DF5">
        <w:rPr>
          <w:rFonts w:ascii="Times New Roman" w:eastAsia="Times New Roman" w:hAnsi="Times New Roman" w:cs="Times New Roman"/>
          <w:snapToGrid w:val="0"/>
          <w:sz w:val="24"/>
          <w:szCs w:val="24"/>
        </w:rPr>
        <w:t xml:space="preserve">John </w:t>
      </w:r>
      <w:r w:rsidR="00A66743">
        <w:rPr>
          <w:rFonts w:ascii="Times New Roman" w:eastAsia="Times New Roman" w:hAnsi="Times New Roman" w:cs="Times New Roman"/>
          <w:snapToGrid w:val="0"/>
          <w:sz w:val="24"/>
          <w:szCs w:val="24"/>
        </w:rPr>
        <w:t xml:space="preserve">Flanagan, </w:t>
      </w:r>
      <w:r w:rsidR="0017016C">
        <w:rPr>
          <w:rFonts w:ascii="Times New Roman" w:eastAsia="Times New Roman" w:hAnsi="Times New Roman" w:cs="Times New Roman"/>
          <w:snapToGrid w:val="0"/>
          <w:sz w:val="24"/>
          <w:szCs w:val="24"/>
        </w:rPr>
        <w:t xml:space="preserve">and </w:t>
      </w:r>
      <w:r w:rsidR="00A66743">
        <w:rPr>
          <w:rFonts w:ascii="Times New Roman" w:eastAsia="Times New Roman" w:hAnsi="Times New Roman" w:cs="Times New Roman"/>
          <w:snapToGrid w:val="0"/>
          <w:sz w:val="24"/>
          <w:szCs w:val="24"/>
        </w:rPr>
        <w:t xml:space="preserve">Assembly Speaker </w:t>
      </w:r>
      <w:r w:rsidR="00E83DF5">
        <w:rPr>
          <w:rFonts w:ascii="Times New Roman" w:eastAsia="Times New Roman" w:hAnsi="Times New Roman" w:cs="Times New Roman"/>
          <w:snapToGrid w:val="0"/>
          <w:sz w:val="24"/>
          <w:szCs w:val="24"/>
        </w:rPr>
        <w:t xml:space="preserve">Carl </w:t>
      </w:r>
      <w:r w:rsidR="00A66743">
        <w:rPr>
          <w:rFonts w:ascii="Times New Roman" w:eastAsia="Times New Roman" w:hAnsi="Times New Roman" w:cs="Times New Roman"/>
          <w:snapToGrid w:val="0"/>
          <w:sz w:val="24"/>
          <w:szCs w:val="24"/>
        </w:rPr>
        <w:t>Heastie</w:t>
      </w:r>
      <w:r w:rsidR="00B16D29">
        <w:rPr>
          <w:rFonts w:ascii="Times New Roman" w:eastAsia="Times New Roman" w:hAnsi="Times New Roman" w:cs="Times New Roman"/>
          <w:snapToGrid w:val="0"/>
          <w:sz w:val="24"/>
          <w:szCs w:val="24"/>
        </w:rPr>
        <w:t xml:space="preserve"> –</w:t>
      </w:r>
      <w:r w:rsidR="00E018BB">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and</w:t>
      </w:r>
      <w:r w:rsidR="00036E7A">
        <w:rPr>
          <w:rFonts w:ascii="Times New Roman" w:eastAsia="Times New Roman" w:hAnsi="Times New Roman" w:cs="Times New Roman"/>
          <w:snapToGrid w:val="0"/>
          <w:sz w:val="24"/>
          <w:szCs w:val="24"/>
        </w:rPr>
        <w:t>, additionally,</w:t>
      </w:r>
      <w:r>
        <w:rPr>
          <w:rFonts w:ascii="Times New Roman" w:eastAsia="Times New Roman" w:hAnsi="Times New Roman" w:cs="Times New Roman"/>
          <w:snapToGrid w:val="0"/>
          <w:sz w:val="24"/>
          <w:szCs w:val="24"/>
        </w:rPr>
        <w:t xml:space="preserve"> to </w:t>
      </w:r>
      <w:r w:rsidR="00E018BB">
        <w:rPr>
          <w:rFonts w:ascii="Times New Roman" w:eastAsia="Times New Roman" w:hAnsi="Times New Roman" w:cs="Times New Roman"/>
          <w:snapToGrid w:val="0"/>
          <w:sz w:val="24"/>
          <w:szCs w:val="24"/>
        </w:rPr>
        <w:t>then-</w:t>
      </w:r>
      <w:r w:rsidR="00912C50" w:rsidRPr="00AB7928">
        <w:rPr>
          <w:rFonts w:ascii="Times New Roman" w:eastAsia="Times New Roman" w:hAnsi="Times New Roman" w:cs="Times New Roman"/>
          <w:snapToGrid w:val="0"/>
          <w:sz w:val="24"/>
          <w:szCs w:val="24"/>
        </w:rPr>
        <w:t xml:space="preserve">incoming </w:t>
      </w:r>
      <w:r w:rsidR="00A66743">
        <w:rPr>
          <w:rFonts w:ascii="Times New Roman" w:eastAsia="Times New Roman" w:hAnsi="Times New Roman" w:cs="Times New Roman"/>
          <w:snapToGrid w:val="0"/>
          <w:sz w:val="24"/>
          <w:szCs w:val="24"/>
        </w:rPr>
        <w:t xml:space="preserve">Temporary Senate President </w:t>
      </w:r>
      <w:r w:rsidR="00912C50" w:rsidRPr="00AB7928">
        <w:rPr>
          <w:rFonts w:ascii="Times New Roman" w:eastAsia="Times New Roman" w:hAnsi="Times New Roman" w:cs="Times New Roman"/>
          <w:snapToGrid w:val="0"/>
          <w:sz w:val="24"/>
          <w:szCs w:val="24"/>
        </w:rPr>
        <w:t>Andrea Stewart-Cousins.</w:t>
      </w:r>
    </w:p>
    <w:p w14:paraId="03E3413A" w14:textId="77777777" w:rsidR="00A66743" w:rsidRPr="00AB7928" w:rsidRDefault="00A66743" w:rsidP="00AB7928">
      <w:pPr>
        <w:spacing w:after="0" w:line="240" w:lineRule="auto"/>
        <w:jc w:val="both"/>
        <w:rPr>
          <w:rFonts w:ascii="Times New Roman" w:eastAsia="Times New Roman" w:hAnsi="Times New Roman" w:cs="Times New Roman"/>
          <w:snapToGrid w:val="0"/>
          <w:sz w:val="24"/>
          <w:szCs w:val="24"/>
        </w:rPr>
      </w:pPr>
    </w:p>
    <w:p w14:paraId="3A6741D2" w14:textId="2437C299" w:rsidR="00E73A72" w:rsidRDefault="002241DB" w:rsidP="00AB7928">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The misrepresentation</w:t>
      </w:r>
      <w:r w:rsidR="00A66743">
        <w:rPr>
          <w:rFonts w:ascii="Times New Roman" w:eastAsia="Times New Roman" w:hAnsi="Times New Roman" w:cs="Times New Roman"/>
          <w:snapToGrid w:val="0"/>
          <w:sz w:val="24"/>
          <w:szCs w:val="24"/>
        </w:rPr>
        <w:t xml:space="preserve">s contained in the </w:t>
      </w:r>
      <w:r w:rsidR="00E73A72">
        <w:rPr>
          <w:rFonts w:ascii="Times New Roman" w:eastAsia="Times New Roman" w:hAnsi="Times New Roman" w:cs="Times New Roman"/>
          <w:snapToGrid w:val="0"/>
          <w:sz w:val="24"/>
          <w:szCs w:val="24"/>
        </w:rPr>
        <w:t xml:space="preserve">transmitting </w:t>
      </w:r>
      <w:r w:rsidR="00A66743">
        <w:rPr>
          <w:rFonts w:ascii="Times New Roman" w:eastAsia="Times New Roman" w:hAnsi="Times New Roman" w:cs="Times New Roman"/>
          <w:snapToGrid w:val="0"/>
          <w:sz w:val="24"/>
          <w:szCs w:val="24"/>
        </w:rPr>
        <w:t>letter</w:t>
      </w:r>
      <w:r w:rsidRPr="00AB7928">
        <w:rPr>
          <w:rFonts w:ascii="Times New Roman" w:eastAsia="Times New Roman" w:hAnsi="Times New Roman" w:cs="Times New Roman"/>
          <w:snapToGrid w:val="0"/>
          <w:sz w:val="24"/>
          <w:szCs w:val="24"/>
        </w:rPr>
        <w:t xml:space="preserve"> begin with </w:t>
      </w:r>
      <w:r w:rsidR="00A66743">
        <w:rPr>
          <w:rFonts w:ascii="Times New Roman" w:eastAsia="Times New Roman" w:hAnsi="Times New Roman" w:cs="Times New Roman"/>
          <w:snapToGrid w:val="0"/>
          <w:sz w:val="24"/>
          <w:szCs w:val="24"/>
        </w:rPr>
        <w:t xml:space="preserve">the </w:t>
      </w:r>
      <w:r w:rsidR="00E73A72">
        <w:rPr>
          <w:rFonts w:ascii="Times New Roman" w:eastAsia="Times New Roman" w:hAnsi="Times New Roman" w:cs="Times New Roman"/>
          <w:snapToGrid w:val="0"/>
          <w:sz w:val="24"/>
          <w:szCs w:val="24"/>
        </w:rPr>
        <w:t xml:space="preserve">letterhead and the first sentence </w:t>
      </w:r>
      <w:r w:rsidR="00E83DF5">
        <w:rPr>
          <w:rFonts w:ascii="Times New Roman" w:eastAsia="Times New Roman" w:hAnsi="Times New Roman" w:cs="Times New Roman"/>
          <w:snapToGrid w:val="0"/>
          <w:sz w:val="24"/>
          <w:szCs w:val="24"/>
        </w:rPr>
        <w:t xml:space="preserve">bearing the </w:t>
      </w:r>
      <w:r w:rsidR="00E73A72">
        <w:rPr>
          <w:rFonts w:ascii="Times New Roman" w:eastAsia="Times New Roman" w:hAnsi="Times New Roman" w:cs="Times New Roman"/>
          <w:snapToGrid w:val="0"/>
          <w:sz w:val="24"/>
          <w:szCs w:val="24"/>
        </w:rPr>
        <w:t>name “</w:t>
      </w:r>
      <w:r w:rsidR="00B16D29" w:rsidRPr="00AB7928">
        <w:rPr>
          <w:rFonts w:ascii="Times New Roman" w:eastAsia="Times New Roman" w:hAnsi="Times New Roman" w:cs="Times New Roman"/>
          <w:snapToGrid w:val="0"/>
          <w:sz w:val="24"/>
          <w:szCs w:val="24"/>
        </w:rPr>
        <w:t>Committee on Legislative and Executive Compensation”</w:t>
      </w:r>
      <w:r w:rsidR="00E73A72">
        <w:rPr>
          <w:rFonts w:ascii="Times New Roman" w:eastAsia="Times New Roman" w:hAnsi="Times New Roman" w:cs="Times New Roman"/>
          <w:snapToGrid w:val="0"/>
          <w:sz w:val="24"/>
          <w:szCs w:val="24"/>
        </w:rPr>
        <w:t xml:space="preserve">.  </w:t>
      </w:r>
      <w:r w:rsidRPr="00AB7928">
        <w:rPr>
          <w:rFonts w:ascii="Times New Roman" w:eastAsia="Times New Roman" w:hAnsi="Times New Roman" w:cs="Times New Roman"/>
          <w:snapToGrid w:val="0"/>
          <w:sz w:val="24"/>
          <w:szCs w:val="24"/>
        </w:rPr>
        <w:t xml:space="preserve"> Although </w:t>
      </w:r>
      <w:r w:rsidR="00B16D29">
        <w:rPr>
          <w:rFonts w:ascii="Times New Roman" w:eastAsia="Times New Roman" w:hAnsi="Times New Roman" w:cs="Times New Roman"/>
          <w:snapToGrid w:val="0"/>
          <w:sz w:val="24"/>
          <w:szCs w:val="24"/>
        </w:rPr>
        <w:t xml:space="preserve">this </w:t>
      </w:r>
      <w:r w:rsidRPr="00AB7928">
        <w:rPr>
          <w:rFonts w:ascii="Times New Roman" w:eastAsia="Times New Roman" w:hAnsi="Times New Roman" w:cs="Times New Roman"/>
          <w:snapToGrid w:val="0"/>
          <w:sz w:val="24"/>
          <w:szCs w:val="24"/>
        </w:rPr>
        <w:t xml:space="preserve">is functionally what the </w:t>
      </w:r>
      <w:r w:rsidR="00E73A72">
        <w:rPr>
          <w:rFonts w:ascii="Times New Roman" w:eastAsia="Times New Roman" w:hAnsi="Times New Roman" w:cs="Times New Roman"/>
          <w:snapToGrid w:val="0"/>
          <w:sz w:val="24"/>
          <w:szCs w:val="24"/>
        </w:rPr>
        <w:t>C</w:t>
      </w:r>
      <w:r w:rsidRPr="00AB7928">
        <w:rPr>
          <w:rFonts w:ascii="Times New Roman" w:eastAsia="Times New Roman" w:hAnsi="Times New Roman" w:cs="Times New Roman"/>
          <w:snapToGrid w:val="0"/>
          <w:sz w:val="24"/>
          <w:szCs w:val="24"/>
        </w:rPr>
        <w:t xml:space="preserve">ommittee is about, </w:t>
      </w:r>
      <w:r w:rsidR="009448F4">
        <w:rPr>
          <w:rFonts w:ascii="Times New Roman" w:eastAsia="Times New Roman" w:hAnsi="Times New Roman" w:cs="Times New Roman"/>
          <w:snapToGrid w:val="0"/>
          <w:sz w:val="24"/>
          <w:szCs w:val="24"/>
        </w:rPr>
        <w:t>such</w:t>
      </w:r>
      <w:r w:rsidR="00570511">
        <w:rPr>
          <w:rFonts w:ascii="Times New Roman" w:eastAsia="Times New Roman" w:hAnsi="Times New Roman" w:cs="Times New Roman"/>
          <w:snapToGrid w:val="0"/>
          <w:sz w:val="24"/>
          <w:szCs w:val="24"/>
        </w:rPr>
        <w:t xml:space="preserve"> name</w:t>
      </w:r>
      <w:r w:rsidR="00E83DF5">
        <w:rPr>
          <w:rFonts w:ascii="Times New Roman" w:eastAsia="Times New Roman" w:hAnsi="Times New Roman" w:cs="Times New Roman"/>
          <w:snapToGrid w:val="0"/>
          <w:sz w:val="24"/>
          <w:szCs w:val="24"/>
        </w:rPr>
        <w:t xml:space="preserve"> </w:t>
      </w:r>
      <w:r w:rsidR="007F2AF5">
        <w:rPr>
          <w:rFonts w:ascii="Times New Roman" w:eastAsia="Times New Roman" w:hAnsi="Times New Roman" w:cs="Times New Roman"/>
          <w:snapToGrid w:val="0"/>
          <w:sz w:val="24"/>
          <w:szCs w:val="24"/>
        </w:rPr>
        <w:t xml:space="preserve">does not appear </w:t>
      </w:r>
      <w:r w:rsidRPr="00AB7928">
        <w:rPr>
          <w:rFonts w:ascii="Times New Roman" w:eastAsia="Times New Roman" w:hAnsi="Times New Roman" w:cs="Times New Roman"/>
          <w:snapToGrid w:val="0"/>
          <w:sz w:val="24"/>
          <w:szCs w:val="24"/>
        </w:rPr>
        <w:t xml:space="preserve">in </w:t>
      </w:r>
      <w:r w:rsidR="004B6C20">
        <w:rPr>
          <w:rFonts w:ascii="Times New Roman" w:eastAsia="Times New Roman" w:hAnsi="Times New Roman" w:cs="Times New Roman"/>
          <w:snapToGrid w:val="0"/>
          <w:sz w:val="24"/>
          <w:szCs w:val="24"/>
        </w:rPr>
        <w:t>Part HHH</w:t>
      </w:r>
      <w:r w:rsidR="00A66743">
        <w:rPr>
          <w:rFonts w:ascii="Times New Roman" w:eastAsia="Times New Roman" w:hAnsi="Times New Roman" w:cs="Times New Roman"/>
          <w:snapToGrid w:val="0"/>
          <w:sz w:val="24"/>
          <w:szCs w:val="24"/>
        </w:rPr>
        <w:t xml:space="preserve"> of </w:t>
      </w:r>
      <w:r w:rsidR="009720B6">
        <w:rPr>
          <w:rFonts w:ascii="Times New Roman" w:eastAsia="Times New Roman" w:hAnsi="Times New Roman" w:cs="Times New Roman"/>
          <w:snapToGrid w:val="0"/>
          <w:sz w:val="24"/>
          <w:szCs w:val="24"/>
        </w:rPr>
        <w:t xml:space="preserve">what became Chapter 59 of </w:t>
      </w:r>
      <w:r w:rsidR="00A66743">
        <w:rPr>
          <w:rFonts w:ascii="Times New Roman" w:eastAsia="Times New Roman" w:hAnsi="Times New Roman" w:cs="Times New Roman"/>
          <w:snapToGrid w:val="0"/>
          <w:sz w:val="24"/>
          <w:szCs w:val="24"/>
        </w:rPr>
        <w:t>the Laws of 2018</w:t>
      </w:r>
      <w:r w:rsidRPr="00AB7928">
        <w:rPr>
          <w:rFonts w:ascii="Times New Roman" w:eastAsia="Times New Roman" w:hAnsi="Times New Roman" w:cs="Times New Roman"/>
          <w:snapToGrid w:val="0"/>
          <w:sz w:val="24"/>
          <w:szCs w:val="24"/>
        </w:rPr>
        <w:t xml:space="preserve"> – and</w:t>
      </w:r>
      <w:r w:rsidR="00B325D7">
        <w:rPr>
          <w:rFonts w:ascii="Times New Roman" w:eastAsia="Times New Roman" w:hAnsi="Times New Roman" w:cs="Times New Roman"/>
          <w:snapToGrid w:val="0"/>
          <w:sz w:val="24"/>
          <w:szCs w:val="24"/>
        </w:rPr>
        <w:t xml:space="preserve"> </w:t>
      </w:r>
      <w:r w:rsidR="00913995">
        <w:rPr>
          <w:rFonts w:ascii="Times New Roman" w:eastAsia="Times New Roman" w:hAnsi="Times New Roman" w:cs="Times New Roman"/>
          <w:snapToGrid w:val="0"/>
          <w:sz w:val="24"/>
          <w:szCs w:val="24"/>
        </w:rPr>
        <w:t xml:space="preserve">is, seemingly, </w:t>
      </w:r>
      <w:r w:rsidRPr="00AB7928">
        <w:rPr>
          <w:rFonts w:ascii="Times New Roman" w:eastAsia="Times New Roman" w:hAnsi="Times New Roman" w:cs="Times New Roman"/>
          <w:snapToGrid w:val="0"/>
          <w:sz w:val="24"/>
          <w:szCs w:val="24"/>
        </w:rPr>
        <w:t>the first time the Co</w:t>
      </w:r>
      <w:r w:rsidR="00B16D29">
        <w:rPr>
          <w:rFonts w:ascii="Times New Roman" w:eastAsia="Times New Roman" w:hAnsi="Times New Roman" w:cs="Times New Roman"/>
          <w:snapToGrid w:val="0"/>
          <w:sz w:val="24"/>
          <w:szCs w:val="24"/>
        </w:rPr>
        <w:t>mpensation Co</w:t>
      </w:r>
      <w:r w:rsidRPr="00AB7928">
        <w:rPr>
          <w:rFonts w:ascii="Times New Roman" w:eastAsia="Times New Roman" w:hAnsi="Times New Roman" w:cs="Times New Roman"/>
          <w:snapToGrid w:val="0"/>
          <w:sz w:val="24"/>
          <w:szCs w:val="24"/>
        </w:rPr>
        <w:t>mmittee identified itself</w:t>
      </w:r>
      <w:r w:rsidR="00A66743">
        <w:rPr>
          <w:rFonts w:ascii="Times New Roman" w:eastAsia="Times New Roman" w:hAnsi="Times New Roman" w:cs="Times New Roman"/>
          <w:snapToGrid w:val="0"/>
          <w:sz w:val="24"/>
          <w:szCs w:val="24"/>
        </w:rPr>
        <w:t xml:space="preserve"> </w:t>
      </w:r>
      <w:r w:rsidR="00B16D29">
        <w:rPr>
          <w:rFonts w:ascii="Times New Roman" w:eastAsia="Times New Roman" w:hAnsi="Times New Roman" w:cs="Times New Roman"/>
          <w:snapToGrid w:val="0"/>
          <w:sz w:val="24"/>
          <w:szCs w:val="24"/>
        </w:rPr>
        <w:t>by</w:t>
      </w:r>
      <w:r w:rsidR="00A66743">
        <w:rPr>
          <w:rFonts w:ascii="Times New Roman" w:eastAsia="Times New Roman" w:hAnsi="Times New Roman" w:cs="Times New Roman"/>
          <w:snapToGrid w:val="0"/>
          <w:sz w:val="24"/>
          <w:szCs w:val="24"/>
        </w:rPr>
        <w:t xml:space="preserve"> </w:t>
      </w:r>
      <w:r w:rsidR="00A338ED">
        <w:rPr>
          <w:rFonts w:ascii="Times New Roman" w:eastAsia="Times New Roman" w:hAnsi="Times New Roman" w:cs="Times New Roman"/>
          <w:snapToGrid w:val="0"/>
          <w:sz w:val="24"/>
          <w:szCs w:val="24"/>
        </w:rPr>
        <w:t>that name</w:t>
      </w:r>
      <w:r w:rsidR="00E73A72">
        <w:rPr>
          <w:rFonts w:ascii="Times New Roman" w:eastAsia="Times New Roman" w:hAnsi="Times New Roman" w:cs="Times New Roman"/>
          <w:snapToGrid w:val="0"/>
          <w:sz w:val="24"/>
          <w:szCs w:val="24"/>
        </w:rPr>
        <w:t>.</w:t>
      </w:r>
    </w:p>
    <w:p w14:paraId="1B8C2962" w14:textId="77777777" w:rsidR="00A66743" w:rsidRDefault="00A66743" w:rsidP="00AB7928">
      <w:pPr>
        <w:spacing w:after="0" w:line="240" w:lineRule="auto"/>
        <w:jc w:val="both"/>
        <w:rPr>
          <w:rFonts w:ascii="Times New Roman" w:eastAsia="Times New Roman" w:hAnsi="Times New Roman" w:cs="Times New Roman"/>
          <w:snapToGrid w:val="0"/>
          <w:sz w:val="24"/>
          <w:szCs w:val="24"/>
        </w:rPr>
      </w:pPr>
    </w:p>
    <w:p w14:paraId="6DEA3B35" w14:textId="32E5B04C" w:rsidR="00680487" w:rsidRDefault="00680487" w:rsidP="00AB7928">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 xml:space="preserve">The </w:t>
      </w:r>
      <w:r w:rsidR="005F345A">
        <w:rPr>
          <w:rFonts w:ascii="Times New Roman" w:eastAsia="Times New Roman" w:hAnsi="Times New Roman" w:cs="Times New Roman"/>
          <w:snapToGrid w:val="0"/>
          <w:sz w:val="24"/>
          <w:szCs w:val="24"/>
        </w:rPr>
        <w:t xml:space="preserve">letter then continues </w:t>
      </w:r>
      <w:r w:rsidR="006F038E">
        <w:rPr>
          <w:rFonts w:ascii="Times New Roman" w:eastAsia="Times New Roman" w:hAnsi="Times New Roman" w:cs="Times New Roman"/>
          <w:snapToGrid w:val="0"/>
          <w:sz w:val="24"/>
          <w:szCs w:val="24"/>
        </w:rPr>
        <w:t xml:space="preserve">by misrepresenting </w:t>
      </w:r>
      <w:r w:rsidR="00570511">
        <w:rPr>
          <w:rFonts w:ascii="Times New Roman" w:eastAsia="Times New Roman" w:hAnsi="Times New Roman" w:cs="Times New Roman"/>
          <w:snapToGrid w:val="0"/>
          <w:sz w:val="24"/>
          <w:szCs w:val="24"/>
        </w:rPr>
        <w:t>the Committee’s</w:t>
      </w:r>
      <w:r w:rsidR="006F038E">
        <w:rPr>
          <w:rFonts w:ascii="Times New Roman" w:eastAsia="Times New Roman" w:hAnsi="Times New Roman" w:cs="Times New Roman"/>
          <w:snapToGrid w:val="0"/>
          <w:sz w:val="24"/>
          <w:szCs w:val="24"/>
        </w:rPr>
        <w:t xml:space="preserve"> compliance with</w:t>
      </w:r>
      <w:r w:rsidR="00570511">
        <w:rPr>
          <w:rFonts w:ascii="Times New Roman" w:eastAsia="Times New Roman" w:hAnsi="Times New Roman" w:cs="Times New Roman"/>
          <w:snapToGrid w:val="0"/>
          <w:sz w:val="24"/>
          <w:szCs w:val="24"/>
        </w:rPr>
        <w:t xml:space="preserve"> </w:t>
      </w:r>
      <w:r w:rsidR="000D48D4">
        <w:rPr>
          <w:rFonts w:ascii="Times New Roman" w:eastAsia="Times New Roman" w:hAnsi="Times New Roman" w:cs="Times New Roman"/>
          <w:snapToGrid w:val="0"/>
          <w:sz w:val="24"/>
          <w:szCs w:val="24"/>
        </w:rPr>
        <w:t>Part HHH</w:t>
      </w:r>
      <w:r w:rsidR="006F038E">
        <w:rPr>
          <w:rFonts w:ascii="Times New Roman" w:eastAsia="Times New Roman" w:hAnsi="Times New Roman" w:cs="Times New Roman"/>
          <w:snapToGrid w:val="0"/>
          <w:sz w:val="24"/>
          <w:szCs w:val="24"/>
        </w:rPr>
        <w:t xml:space="preserve">. </w:t>
      </w:r>
      <w:r w:rsidR="00A34A99">
        <w:rPr>
          <w:rFonts w:ascii="Times New Roman" w:eastAsia="Times New Roman" w:hAnsi="Times New Roman" w:cs="Times New Roman"/>
          <w:snapToGrid w:val="0"/>
          <w:sz w:val="24"/>
          <w:szCs w:val="24"/>
        </w:rPr>
        <w:t xml:space="preserve"> Its </w:t>
      </w:r>
      <w:r w:rsidR="006F038E">
        <w:rPr>
          <w:rFonts w:ascii="Times New Roman" w:eastAsia="Times New Roman" w:hAnsi="Times New Roman" w:cs="Times New Roman"/>
          <w:snapToGrid w:val="0"/>
          <w:sz w:val="24"/>
          <w:szCs w:val="24"/>
        </w:rPr>
        <w:t>second sentence reads:</w:t>
      </w:r>
      <w:r w:rsidRPr="00AB7928">
        <w:rPr>
          <w:rFonts w:ascii="Times New Roman" w:eastAsia="Times New Roman" w:hAnsi="Times New Roman" w:cs="Times New Roman"/>
          <w:snapToGrid w:val="0"/>
          <w:sz w:val="24"/>
          <w:szCs w:val="24"/>
        </w:rPr>
        <w:t xml:space="preserve"> </w:t>
      </w:r>
    </w:p>
    <w:p w14:paraId="4B4B0B22" w14:textId="77777777" w:rsidR="00A66743" w:rsidRPr="00AB7928" w:rsidRDefault="00A66743" w:rsidP="00AB7928">
      <w:pPr>
        <w:spacing w:after="0" w:line="240" w:lineRule="auto"/>
        <w:jc w:val="both"/>
        <w:rPr>
          <w:rFonts w:ascii="Times New Roman" w:eastAsia="Times New Roman" w:hAnsi="Times New Roman" w:cs="Times New Roman"/>
          <w:snapToGrid w:val="0"/>
          <w:sz w:val="24"/>
          <w:szCs w:val="24"/>
        </w:rPr>
      </w:pPr>
    </w:p>
    <w:p w14:paraId="5F31CA25" w14:textId="2ED09CA5" w:rsidR="00680487" w:rsidRPr="00AB7928" w:rsidRDefault="00680487" w:rsidP="00A66743">
      <w:pPr>
        <w:spacing w:after="0" w:line="240" w:lineRule="auto"/>
        <w:ind w:left="1152" w:right="1152"/>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w:t>
      </w:r>
      <w:r w:rsidRPr="00AB7928">
        <w:rPr>
          <w:rFonts w:ascii="Times New Roman" w:eastAsia="Times New Roman" w:hAnsi="Times New Roman" w:cs="Times New Roman"/>
          <w:snapToGrid w:val="0"/>
          <w:sz w:val="24"/>
          <w:szCs w:val="24"/>
          <w:u w:val="single"/>
        </w:rPr>
        <w:t>Pursuant to Part HHH of Chapter 59 of the Laws of 2018</w:t>
      </w:r>
      <w:r w:rsidRPr="00AB7928">
        <w:rPr>
          <w:rFonts w:ascii="Times New Roman" w:eastAsia="Times New Roman" w:hAnsi="Times New Roman" w:cs="Times New Roman"/>
          <w:snapToGrid w:val="0"/>
          <w:sz w:val="24"/>
          <w:szCs w:val="24"/>
        </w:rPr>
        <w:t xml:space="preserve">, this report sets forth the Committee’s recommendations </w:t>
      </w:r>
      <w:r w:rsidR="00912C50" w:rsidRPr="00AB7928">
        <w:rPr>
          <w:rFonts w:ascii="Times New Roman" w:eastAsia="Times New Roman" w:hAnsi="Times New Roman" w:cs="Times New Roman"/>
          <w:snapToGrid w:val="0"/>
          <w:sz w:val="24"/>
          <w:szCs w:val="24"/>
        </w:rPr>
        <w:t>with respect to the levels of executive and legislative compensation</w:t>
      </w:r>
      <w:r w:rsidRPr="00AB7928">
        <w:rPr>
          <w:rFonts w:ascii="Times New Roman" w:eastAsia="Times New Roman" w:hAnsi="Times New Roman" w:cs="Times New Roman"/>
          <w:snapToGrid w:val="0"/>
          <w:sz w:val="24"/>
          <w:szCs w:val="24"/>
        </w:rPr>
        <w:t xml:space="preserve"> over the ensuing three calendar years.”</w:t>
      </w:r>
      <w:r w:rsidR="00D527C2">
        <w:rPr>
          <w:rFonts w:ascii="Times New Roman" w:eastAsia="Times New Roman" w:hAnsi="Times New Roman" w:cs="Times New Roman"/>
          <w:snapToGrid w:val="0"/>
          <w:sz w:val="24"/>
          <w:szCs w:val="24"/>
        </w:rPr>
        <w:t xml:space="preserve">  (underlining added).</w:t>
      </w:r>
    </w:p>
    <w:p w14:paraId="7C4724CE" w14:textId="77777777" w:rsidR="00680487" w:rsidRPr="00AB7928" w:rsidRDefault="00680487" w:rsidP="00AB7928">
      <w:pPr>
        <w:spacing w:after="0" w:line="240" w:lineRule="auto"/>
        <w:jc w:val="both"/>
        <w:rPr>
          <w:rFonts w:ascii="Times New Roman" w:eastAsia="Times New Roman" w:hAnsi="Times New Roman" w:cs="Times New Roman"/>
          <w:snapToGrid w:val="0"/>
          <w:sz w:val="24"/>
          <w:szCs w:val="24"/>
        </w:rPr>
      </w:pPr>
    </w:p>
    <w:p w14:paraId="1E9A57AE" w14:textId="6FC9B81F" w:rsidR="00E83DF5" w:rsidRPr="00036E7A" w:rsidRDefault="005416E8" w:rsidP="00AB7928">
      <w:pPr>
        <w:spacing w:after="0" w:line="240" w:lineRule="auto"/>
        <w:jc w:val="both"/>
        <w:rPr>
          <w:rFonts w:ascii="Times New Roman" w:eastAsia="Times New Roman" w:hAnsi="Times New Roman" w:cs="Times New Roman"/>
          <w:snapToGrid w:val="0"/>
          <w:sz w:val="24"/>
          <w:szCs w:val="24"/>
          <w:u w:val="single"/>
        </w:rPr>
      </w:pPr>
      <w:r>
        <w:rPr>
          <w:rFonts w:ascii="Times New Roman" w:eastAsia="Times New Roman" w:hAnsi="Times New Roman" w:cs="Times New Roman"/>
          <w:snapToGrid w:val="0"/>
          <w:sz w:val="24"/>
          <w:szCs w:val="24"/>
        </w:rPr>
        <w:t xml:space="preserve">Yet, </w:t>
      </w:r>
      <w:r w:rsidR="00680487" w:rsidRPr="00AB7928">
        <w:rPr>
          <w:rFonts w:ascii="Times New Roman" w:eastAsia="Times New Roman" w:hAnsi="Times New Roman" w:cs="Times New Roman"/>
          <w:snapToGrid w:val="0"/>
          <w:sz w:val="24"/>
          <w:szCs w:val="24"/>
        </w:rPr>
        <w:t xml:space="preserve">Part HHH did </w:t>
      </w:r>
      <w:r w:rsidR="00680487" w:rsidRPr="000D7E09">
        <w:rPr>
          <w:rFonts w:ascii="Times New Roman" w:eastAsia="Times New Roman" w:hAnsi="Times New Roman" w:cs="Times New Roman"/>
          <w:snapToGrid w:val="0"/>
          <w:sz w:val="24"/>
          <w:szCs w:val="24"/>
          <w:u w:val="single"/>
        </w:rPr>
        <w:t>not</w:t>
      </w:r>
      <w:r w:rsidR="00680487" w:rsidRPr="00AB7928">
        <w:rPr>
          <w:rFonts w:ascii="Times New Roman" w:eastAsia="Times New Roman" w:hAnsi="Times New Roman" w:cs="Times New Roman"/>
          <w:snapToGrid w:val="0"/>
          <w:sz w:val="24"/>
          <w:szCs w:val="24"/>
        </w:rPr>
        <w:t xml:space="preserve"> authorize the Committee to make recommendations </w:t>
      </w:r>
      <w:r w:rsidR="00E83DF5">
        <w:rPr>
          <w:rFonts w:ascii="Times New Roman" w:eastAsia="Times New Roman" w:hAnsi="Times New Roman" w:cs="Times New Roman"/>
          <w:snapToGrid w:val="0"/>
          <w:sz w:val="24"/>
          <w:szCs w:val="24"/>
        </w:rPr>
        <w:t>with respect to</w:t>
      </w:r>
      <w:r w:rsidR="00680487" w:rsidRPr="00AB7928">
        <w:rPr>
          <w:rFonts w:ascii="Times New Roman" w:eastAsia="Times New Roman" w:hAnsi="Times New Roman" w:cs="Times New Roman"/>
          <w:snapToGrid w:val="0"/>
          <w:sz w:val="24"/>
          <w:szCs w:val="24"/>
        </w:rPr>
        <w:t xml:space="preserve"> “levels”</w:t>
      </w:r>
      <w:r>
        <w:rPr>
          <w:rFonts w:ascii="Times New Roman" w:eastAsia="Times New Roman" w:hAnsi="Times New Roman" w:cs="Times New Roman"/>
          <w:snapToGrid w:val="0"/>
          <w:sz w:val="24"/>
          <w:szCs w:val="24"/>
        </w:rPr>
        <w:t xml:space="preserve"> of compensation</w:t>
      </w:r>
      <w:r w:rsidR="009448F4">
        <w:rPr>
          <w:rFonts w:ascii="Times New Roman" w:eastAsia="Times New Roman" w:hAnsi="Times New Roman" w:cs="Times New Roman"/>
          <w:snapToGrid w:val="0"/>
          <w:sz w:val="24"/>
          <w:szCs w:val="24"/>
        </w:rPr>
        <w:t xml:space="preserve">.  Rather, </w:t>
      </w:r>
      <w:r w:rsidR="00570511">
        <w:rPr>
          <w:rFonts w:ascii="Times New Roman" w:eastAsia="Times New Roman" w:hAnsi="Times New Roman" w:cs="Times New Roman"/>
          <w:snapToGrid w:val="0"/>
          <w:sz w:val="24"/>
          <w:szCs w:val="24"/>
        </w:rPr>
        <w:t>its</w:t>
      </w:r>
      <w:r w:rsidR="00E83DF5">
        <w:rPr>
          <w:rFonts w:ascii="Times New Roman" w:eastAsia="Times New Roman" w:hAnsi="Times New Roman" w:cs="Times New Roman"/>
          <w:snapToGrid w:val="0"/>
          <w:sz w:val="24"/>
          <w:szCs w:val="24"/>
        </w:rPr>
        <w:t xml:space="preserve"> </w:t>
      </w:r>
      <w:r w:rsidR="00E83DF5" w:rsidRPr="00AB7928">
        <w:rPr>
          <w:rFonts w:ascii="Times New Roman" w:eastAsia="Calibri" w:hAnsi="Times New Roman" w:cs="Times New Roman"/>
          <w:bCs/>
          <w:color w:val="333333"/>
          <w:sz w:val="24"/>
          <w:szCs w:val="24"/>
          <w:shd w:val="clear" w:color="auto" w:fill="FFFFFF"/>
        </w:rPr>
        <w:t>§</w:t>
      </w:r>
      <w:r w:rsidR="00E83DF5" w:rsidRPr="00AB7928">
        <w:rPr>
          <w:rFonts w:ascii="Times New Roman" w:eastAsia="Times New Roman" w:hAnsi="Times New Roman" w:cs="Times New Roman"/>
          <w:snapToGrid w:val="0"/>
          <w:sz w:val="24"/>
          <w:szCs w:val="24"/>
        </w:rPr>
        <w:t>1</w:t>
      </w:r>
      <w:r w:rsidR="000D7E09">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restricted the C</w:t>
      </w:r>
      <w:r w:rsidR="000D7E09">
        <w:rPr>
          <w:rFonts w:ascii="Times New Roman" w:eastAsia="Times New Roman" w:hAnsi="Times New Roman" w:cs="Times New Roman"/>
          <w:snapToGrid w:val="0"/>
          <w:sz w:val="24"/>
          <w:szCs w:val="24"/>
        </w:rPr>
        <w:t xml:space="preserve">ommittee </w:t>
      </w:r>
      <w:r>
        <w:rPr>
          <w:rFonts w:ascii="Times New Roman" w:eastAsia="Times New Roman" w:hAnsi="Times New Roman" w:cs="Times New Roman"/>
          <w:snapToGrid w:val="0"/>
          <w:sz w:val="24"/>
          <w:szCs w:val="24"/>
        </w:rPr>
        <w:t xml:space="preserve">to </w:t>
      </w:r>
      <w:r w:rsidR="00570511">
        <w:rPr>
          <w:rFonts w:ascii="Times New Roman" w:eastAsia="Times New Roman" w:hAnsi="Times New Roman" w:cs="Times New Roman"/>
          <w:snapToGrid w:val="0"/>
          <w:sz w:val="24"/>
          <w:szCs w:val="24"/>
        </w:rPr>
        <w:t xml:space="preserve">recommendations </w:t>
      </w:r>
      <w:r w:rsidR="00E83DF5">
        <w:rPr>
          <w:rFonts w:ascii="Times New Roman" w:eastAsia="Times New Roman" w:hAnsi="Times New Roman" w:cs="Times New Roman"/>
          <w:snapToGrid w:val="0"/>
          <w:sz w:val="24"/>
          <w:szCs w:val="24"/>
        </w:rPr>
        <w:t xml:space="preserve">with respect to </w:t>
      </w:r>
      <w:r w:rsidR="0098285F">
        <w:rPr>
          <w:rFonts w:ascii="Times New Roman" w:eastAsia="Times New Roman" w:hAnsi="Times New Roman" w:cs="Times New Roman"/>
          <w:snapToGrid w:val="0"/>
          <w:sz w:val="24"/>
          <w:szCs w:val="24"/>
        </w:rPr>
        <w:t>“</w:t>
      </w:r>
      <w:r w:rsidR="00680487" w:rsidRPr="00AB7928">
        <w:rPr>
          <w:rFonts w:ascii="Times New Roman" w:eastAsia="Times New Roman" w:hAnsi="Times New Roman" w:cs="Times New Roman"/>
          <w:snapToGrid w:val="0"/>
          <w:sz w:val="24"/>
          <w:szCs w:val="24"/>
        </w:rPr>
        <w:t xml:space="preserve">adequate levels </w:t>
      </w:r>
      <w:r w:rsidR="00E83DF5">
        <w:rPr>
          <w:rFonts w:ascii="Times New Roman" w:eastAsia="Times New Roman" w:hAnsi="Times New Roman" w:cs="Times New Roman"/>
          <w:snapToGrid w:val="0"/>
          <w:sz w:val="24"/>
          <w:szCs w:val="24"/>
        </w:rPr>
        <w:t>of compensation</w:t>
      </w:r>
      <w:r w:rsidR="00F66B4B">
        <w:rPr>
          <w:rFonts w:ascii="Times New Roman" w:eastAsia="Times New Roman" w:hAnsi="Times New Roman" w:cs="Times New Roman"/>
          <w:snapToGrid w:val="0"/>
          <w:sz w:val="24"/>
          <w:szCs w:val="24"/>
        </w:rPr>
        <w:t>”</w:t>
      </w:r>
      <w:r w:rsidR="00B16D29">
        <w:rPr>
          <w:rFonts w:ascii="Times New Roman" w:eastAsia="Times New Roman" w:hAnsi="Times New Roman" w:cs="Times New Roman"/>
          <w:snapToGrid w:val="0"/>
          <w:sz w:val="24"/>
          <w:szCs w:val="24"/>
        </w:rPr>
        <w:t xml:space="preserve">.  </w:t>
      </w:r>
      <w:r w:rsidR="00942584" w:rsidRPr="00036E7A">
        <w:rPr>
          <w:rFonts w:ascii="Times New Roman" w:eastAsia="Times New Roman" w:hAnsi="Times New Roman" w:cs="Times New Roman"/>
          <w:snapToGrid w:val="0"/>
          <w:sz w:val="24"/>
          <w:szCs w:val="24"/>
          <w:u w:val="single"/>
        </w:rPr>
        <w:t xml:space="preserve">Neither here nor in the Report does the Committee purport </w:t>
      </w:r>
      <w:r w:rsidR="00942584" w:rsidRPr="00036E7A">
        <w:rPr>
          <w:rFonts w:ascii="Times New Roman" w:eastAsia="Times New Roman" w:hAnsi="Times New Roman" w:cs="Times New Roman"/>
          <w:snapToGrid w:val="0"/>
          <w:sz w:val="24"/>
          <w:szCs w:val="24"/>
          <w:u w:val="single"/>
        </w:rPr>
        <w:lastRenderedPageBreak/>
        <w:t>t</w:t>
      </w:r>
      <w:r>
        <w:rPr>
          <w:rFonts w:ascii="Times New Roman" w:eastAsia="Times New Roman" w:hAnsi="Times New Roman" w:cs="Times New Roman"/>
          <w:snapToGrid w:val="0"/>
          <w:sz w:val="24"/>
          <w:szCs w:val="24"/>
          <w:u w:val="single"/>
        </w:rPr>
        <w:t>hat its recommendations are restricted to “adequate levels”</w:t>
      </w:r>
      <w:r w:rsidR="00E70FCB">
        <w:rPr>
          <w:rFonts w:ascii="Times New Roman" w:eastAsia="Times New Roman" w:hAnsi="Times New Roman" w:cs="Times New Roman"/>
          <w:snapToGrid w:val="0"/>
          <w:sz w:val="24"/>
          <w:szCs w:val="24"/>
          <w:u w:val="single"/>
        </w:rPr>
        <w:t xml:space="preserve"> – or </w:t>
      </w:r>
      <w:r>
        <w:rPr>
          <w:rFonts w:ascii="Times New Roman" w:eastAsia="Times New Roman" w:hAnsi="Times New Roman" w:cs="Times New Roman"/>
          <w:snapToGrid w:val="0"/>
          <w:sz w:val="24"/>
          <w:szCs w:val="24"/>
          <w:u w:val="single"/>
        </w:rPr>
        <w:t xml:space="preserve">that it found </w:t>
      </w:r>
      <w:r w:rsidR="00E70FCB">
        <w:rPr>
          <w:rFonts w:ascii="Times New Roman" w:eastAsia="Times New Roman" w:hAnsi="Times New Roman" w:cs="Times New Roman"/>
          <w:snapToGrid w:val="0"/>
          <w:sz w:val="24"/>
          <w:szCs w:val="24"/>
          <w:u w:val="single"/>
        </w:rPr>
        <w:t>existing compensation levels to be inadequate</w:t>
      </w:r>
      <w:r w:rsidR="00942584" w:rsidRPr="00036E7A">
        <w:rPr>
          <w:rFonts w:ascii="Times New Roman" w:eastAsia="Times New Roman" w:hAnsi="Times New Roman" w:cs="Times New Roman"/>
          <w:snapToGrid w:val="0"/>
          <w:sz w:val="24"/>
          <w:szCs w:val="24"/>
          <w:u w:val="single"/>
        </w:rPr>
        <w:t>.</w:t>
      </w:r>
    </w:p>
    <w:p w14:paraId="1F68C7D0" w14:textId="77777777" w:rsidR="00E83DF5" w:rsidRDefault="00E83DF5" w:rsidP="00AB7928">
      <w:pPr>
        <w:spacing w:after="0" w:line="240" w:lineRule="auto"/>
        <w:jc w:val="both"/>
        <w:rPr>
          <w:rFonts w:ascii="Times New Roman" w:eastAsia="Times New Roman" w:hAnsi="Times New Roman" w:cs="Times New Roman"/>
          <w:snapToGrid w:val="0"/>
          <w:sz w:val="24"/>
          <w:szCs w:val="24"/>
        </w:rPr>
      </w:pPr>
    </w:p>
    <w:p w14:paraId="1CA8DCAD" w14:textId="5117D9D1" w:rsidR="004121BF" w:rsidRPr="00AB7928" w:rsidRDefault="00680487" w:rsidP="00AB7928">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 xml:space="preserve">The </w:t>
      </w:r>
      <w:r w:rsidR="006F038E">
        <w:rPr>
          <w:rFonts w:ascii="Times New Roman" w:eastAsia="Times New Roman" w:hAnsi="Times New Roman" w:cs="Times New Roman"/>
          <w:snapToGrid w:val="0"/>
          <w:sz w:val="24"/>
          <w:szCs w:val="24"/>
        </w:rPr>
        <w:t>next sentence then</w:t>
      </w:r>
      <w:r w:rsidRPr="00AB7928">
        <w:rPr>
          <w:rFonts w:ascii="Times New Roman" w:eastAsia="Times New Roman" w:hAnsi="Times New Roman" w:cs="Times New Roman"/>
          <w:snapToGrid w:val="0"/>
          <w:sz w:val="24"/>
          <w:szCs w:val="24"/>
        </w:rPr>
        <w:t xml:space="preserve"> </w:t>
      </w:r>
      <w:r w:rsidR="004121BF" w:rsidRPr="00AB7928">
        <w:rPr>
          <w:rFonts w:ascii="Times New Roman" w:eastAsia="Times New Roman" w:hAnsi="Times New Roman" w:cs="Times New Roman"/>
          <w:snapToGrid w:val="0"/>
          <w:sz w:val="24"/>
          <w:szCs w:val="24"/>
        </w:rPr>
        <w:t xml:space="preserve">continues to imply </w:t>
      </w:r>
      <w:r w:rsidR="00570511">
        <w:rPr>
          <w:rFonts w:ascii="Times New Roman" w:eastAsia="Times New Roman" w:hAnsi="Times New Roman" w:cs="Times New Roman"/>
          <w:snapToGrid w:val="0"/>
          <w:sz w:val="24"/>
          <w:szCs w:val="24"/>
        </w:rPr>
        <w:t xml:space="preserve">the Committee’s </w:t>
      </w:r>
      <w:r w:rsidR="004121BF" w:rsidRPr="00AB7928">
        <w:rPr>
          <w:rFonts w:ascii="Times New Roman" w:eastAsia="Times New Roman" w:hAnsi="Times New Roman" w:cs="Times New Roman"/>
          <w:snapToGrid w:val="0"/>
          <w:sz w:val="24"/>
          <w:szCs w:val="24"/>
        </w:rPr>
        <w:t xml:space="preserve">compliance with </w:t>
      </w:r>
      <w:r w:rsidR="00036E7A">
        <w:rPr>
          <w:rFonts w:ascii="Times New Roman" w:eastAsia="Times New Roman" w:hAnsi="Times New Roman" w:cs="Times New Roman"/>
          <w:snapToGrid w:val="0"/>
          <w:sz w:val="24"/>
          <w:szCs w:val="24"/>
        </w:rPr>
        <w:t>Part HHH</w:t>
      </w:r>
      <w:r w:rsidR="004121BF" w:rsidRPr="00AB7928">
        <w:rPr>
          <w:rFonts w:ascii="Times New Roman" w:eastAsia="Times New Roman" w:hAnsi="Times New Roman" w:cs="Times New Roman"/>
          <w:snapToGrid w:val="0"/>
          <w:sz w:val="24"/>
          <w:szCs w:val="24"/>
        </w:rPr>
        <w:t xml:space="preserve">: </w:t>
      </w:r>
    </w:p>
    <w:p w14:paraId="3BE446E7" w14:textId="77777777" w:rsidR="00B16D29" w:rsidRDefault="00B16D29" w:rsidP="00AB7928">
      <w:pPr>
        <w:spacing w:after="0" w:line="240" w:lineRule="auto"/>
        <w:jc w:val="both"/>
        <w:rPr>
          <w:rFonts w:ascii="Times New Roman" w:eastAsia="Times New Roman" w:hAnsi="Times New Roman" w:cs="Times New Roman"/>
          <w:snapToGrid w:val="0"/>
          <w:sz w:val="24"/>
          <w:szCs w:val="24"/>
        </w:rPr>
      </w:pPr>
    </w:p>
    <w:p w14:paraId="5B90171D" w14:textId="59F9E626" w:rsidR="004121BF" w:rsidRPr="00AB7928" w:rsidRDefault="004121BF" w:rsidP="00B16D29">
      <w:pPr>
        <w:spacing w:after="0" w:line="240" w:lineRule="auto"/>
        <w:ind w:left="1152" w:right="1152"/>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w:t>
      </w:r>
      <w:r w:rsidRPr="00D527C2">
        <w:rPr>
          <w:rFonts w:ascii="Times New Roman" w:eastAsia="Times New Roman" w:hAnsi="Times New Roman" w:cs="Times New Roman"/>
          <w:snapToGrid w:val="0"/>
          <w:sz w:val="24"/>
          <w:szCs w:val="24"/>
          <w:u w:val="single"/>
        </w:rPr>
        <w:t>In furtherance of its statutory</w:t>
      </w:r>
      <w:r w:rsidR="00912C50" w:rsidRPr="00D527C2">
        <w:rPr>
          <w:rFonts w:ascii="Times New Roman" w:eastAsia="Times New Roman" w:hAnsi="Times New Roman" w:cs="Times New Roman"/>
          <w:snapToGrid w:val="0"/>
          <w:sz w:val="24"/>
          <w:szCs w:val="24"/>
          <w:u w:val="single"/>
        </w:rPr>
        <w:t xml:space="preserve"> mandate</w:t>
      </w:r>
      <w:r w:rsidRPr="00AB7928">
        <w:rPr>
          <w:rFonts w:ascii="Times New Roman" w:eastAsia="Times New Roman" w:hAnsi="Times New Roman" w:cs="Times New Roman"/>
          <w:snapToGrid w:val="0"/>
          <w:sz w:val="24"/>
          <w:szCs w:val="24"/>
        </w:rPr>
        <w:t>, the Committee considered a broad range of pertinent data, beginning with the factors delineated in the statute.”</w:t>
      </w:r>
      <w:r w:rsidR="00D527C2">
        <w:rPr>
          <w:rFonts w:ascii="Times New Roman" w:eastAsia="Times New Roman" w:hAnsi="Times New Roman" w:cs="Times New Roman"/>
          <w:snapToGrid w:val="0"/>
          <w:sz w:val="24"/>
          <w:szCs w:val="24"/>
        </w:rPr>
        <w:t xml:space="preserve">  (underlining added).</w:t>
      </w:r>
    </w:p>
    <w:p w14:paraId="4FC2A643" w14:textId="77777777" w:rsidR="006B7893" w:rsidRPr="00AB7928" w:rsidRDefault="006B7893" w:rsidP="00AB7928">
      <w:pPr>
        <w:spacing w:after="0" w:line="240" w:lineRule="auto"/>
        <w:jc w:val="both"/>
        <w:rPr>
          <w:rFonts w:ascii="Times New Roman" w:eastAsia="Times New Roman" w:hAnsi="Times New Roman" w:cs="Times New Roman"/>
          <w:snapToGrid w:val="0"/>
          <w:sz w:val="24"/>
          <w:szCs w:val="24"/>
        </w:rPr>
      </w:pPr>
    </w:p>
    <w:p w14:paraId="729B584E" w14:textId="75F1D6D3" w:rsidR="00810426" w:rsidRPr="00036E7A" w:rsidRDefault="00510A50" w:rsidP="00913995">
      <w:pPr>
        <w:spacing w:after="0" w:line="240" w:lineRule="auto"/>
        <w:jc w:val="both"/>
        <w:rPr>
          <w:rFonts w:ascii="Times New Roman" w:eastAsia="Times New Roman" w:hAnsi="Times New Roman" w:cs="Times New Roman"/>
          <w:snapToGrid w:val="0"/>
          <w:sz w:val="24"/>
          <w:szCs w:val="24"/>
          <w:u w:val="single"/>
        </w:rPr>
      </w:pPr>
      <w:r>
        <w:rPr>
          <w:rFonts w:ascii="Times New Roman" w:eastAsia="Times New Roman" w:hAnsi="Times New Roman" w:cs="Times New Roman"/>
          <w:snapToGrid w:val="0"/>
          <w:sz w:val="24"/>
          <w:szCs w:val="24"/>
        </w:rPr>
        <w:t>However</w:t>
      </w:r>
      <w:r w:rsidR="00E83DF5">
        <w:rPr>
          <w:rFonts w:ascii="Times New Roman" w:eastAsia="Times New Roman" w:hAnsi="Times New Roman" w:cs="Times New Roman"/>
          <w:snapToGrid w:val="0"/>
          <w:sz w:val="24"/>
          <w:szCs w:val="24"/>
        </w:rPr>
        <w:t xml:space="preserve">, </w:t>
      </w:r>
      <w:r w:rsidR="000D48D4">
        <w:rPr>
          <w:rFonts w:ascii="Times New Roman" w:eastAsia="Times New Roman" w:hAnsi="Times New Roman" w:cs="Times New Roman"/>
          <w:snapToGrid w:val="0"/>
          <w:sz w:val="24"/>
          <w:szCs w:val="24"/>
        </w:rPr>
        <w:t>Part HHH</w:t>
      </w:r>
      <w:r w:rsidR="009448F4">
        <w:rPr>
          <w:rFonts w:ascii="Times New Roman" w:eastAsia="Times New Roman" w:hAnsi="Times New Roman" w:cs="Times New Roman"/>
          <w:snapToGrid w:val="0"/>
          <w:sz w:val="24"/>
          <w:szCs w:val="24"/>
        </w:rPr>
        <w:t xml:space="preserve"> did </w:t>
      </w:r>
      <w:r w:rsidR="009448F4" w:rsidRPr="000D7E09">
        <w:rPr>
          <w:rFonts w:ascii="Times New Roman" w:eastAsia="Times New Roman" w:hAnsi="Times New Roman" w:cs="Times New Roman"/>
          <w:snapToGrid w:val="0"/>
          <w:sz w:val="24"/>
          <w:szCs w:val="24"/>
          <w:u w:val="single"/>
        </w:rPr>
        <w:t>not</w:t>
      </w:r>
      <w:r w:rsidR="009448F4">
        <w:rPr>
          <w:rFonts w:ascii="Times New Roman" w:eastAsia="Times New Roman" w:hAnsi="Times New Roman" w:cs="Times New Roman"/>
          <w:snapToGrid w:val="0"/>
          <w:sz w:val="24"/>
          <w:szCs w:val="24"/>
        </w:rPr>
        <w:t xml:space="preserve"> mandate that </w:t>
      </w:r>
      <w:r w:rsidR="00570511">
        <w:rPr>
          <w:rFonts w:ascii="Times New Roman" w:eastAsia="Times New Roman" w:hAnsi="Times New Roman" w:cs="Times New Roman"/>
          <w:snapToGrid w:val="0"/>
          <w:sz w:val="24"/>
          <w:szCs w:val="24"/>
        </w:rPr>
        <w:t xml:space="preserve">the Committee </w:t>
      </w:r>
      <w:r w:rsidR="00E83DF5">
        <w:rPr>
          <w:rFonts w:ascii="Times New Roman" w:eastAsia="Times New Roman" w:hAnsi="Times New Roman" w:cs="Times New Roman"/>
          <w:snapToGrid w:val="0"/>
          <w:sz w:val="24"/>
          <w:szCs w:val="24"/>
        </w:rPr>
        <w:t>consider “a broad range of pertinent data”</w:t>
      </w:r>
      <w:r w:rsidR="005416E8">
        <w:rPr>
          <w:rFonts w:ascii="Times New Roman" w:eastAsia="Times New Roman" w:hAnsi="Times New Roman" w:cs="Times New Roman"/>
          <w:snapToGrid w:val="0"/>
          <w:sz w:val="24"/>
          <w:szCs w:val="24"/>
        </w:rPr>
        <w:t xml:space="preserve">.  Rather, </w:t>
      </w:r>
      <w:r w:rsidR="00A34A99">
        <w:rPr>
          <w:rFonts w:ascii="Times New Roman" w:eastAsia="Times New Roman" w:hAnsi="Times New Roman" w:cs="Times New Roman"/>
          <w:snapToGrid w:val="0"/>
          <w:sz w:val="24"/>
          <w:szCs w:val="24"/>
        </w:rPr>
        <w:t>it</w:t>
      </w:r>
      <w:r w:rsidR="00570511">
        <w:rPr>
          <w:rFonts w:ascii="Times New Roman" w:eastAsia="Times New Roman" w:hAnsi="Times New Roman" w:cs="Times New Roman"/>
          <w:snapToGrid w:val="0"/>
          <w:sz w:val="24"/>
          <w:szCs w:val="24"/>
        </w:rPr>
        <w:t>s</w:t>
      </w:r>
      <w:bookmarkStart w:id="0" w:name="_Hlk533740666"/>
      <w:r w:rsidR="00A34A99">
        <w:rPr>
          <w:rFonts w:ascii="Times New Roman" w:eastAsia="Times New Roman" w:hAnsi="Times New Roman" w:cs="Times New Roman"/>
          <w:snapToGrid w:val="0"/>
          <w:sz w:val="24"/>
          <w:szCs w:val="24"/>
        </w:rPr>
        <w:t xml:space="preserve"> </w:t>
      </w:r>
      <w:r w:rsidR="003F431E" w:rsidRPr="00AB7928">
        <w:rPr>
          <w:rFonts w:ascii="Times New Roman" w:eastAsia="Calibri" w:hAnsi="Times New Roman" w:cs="Times New Roman"/>
          <w:bCs/>
          <w:color w:val="333333"/>
          <w:sz w:val="24"/>
          <w:szCs w:val="24"/>
          <w:shd w:val="clear" w:color="auto" w:fill="FFFFFF"/>
        </w:rPr>
        <w:t>§</w:t>
      </w:r>
      <w:bookmarkEnd w:id="0"/>
      <w:r w:rsidR="007A7CD6">
        <w:rPr>
          <w:rFonts w:ascii="Times New Roman" w:eastAsia="Calibri" w:hAnsi="Times New Roman" w:cs="Times New Roman"/>
          <w:bCs/>
          <w:color w:val="333333"/>
          <w:sz w:val="24"/>
          <w:szCs w:val="24"/>
          <w:shd w:val="clear" w:color="auto" w:fill="FFFFFF"/>
        </w:rPr>
        <w:t>2.</w:t>
      </w:r>
      <w:r w:rsidR="003F431E" w:rsidRPr="00AB7928">
        <w:rPr>
          <w:rFonts w:ascii="Times New Roman" w:eastAsia="Calibri" w:hAnsi="Times New Roman" w:cs="Times New Roman"/>
          <w:bCs/>
          <w:color w:val="333333"/>
          <w:sz w:val="24"/>
          <w:szCs w:val="24"/>
          <w:shd w:val="clear" w:color="auto" w:fill="FFFFFF"/>
        </w:rPr>
        <w:t>3</w:t>
      </w:r>
      <w:r w:rsidR="00570511">
        <w:rPr>
          <w:rFonts w:ascii="Times New Roman" w:eastAsia="Calibri" w:hAnsi="Times New Roman" w:cs="Times New Roman"/>
          <w:bCs/>
          <w:color w:val="333333"/>
          <w:sz w:val="24"/>
          <w:szCs w:val="24"/>
          <w:shd w:val="clear" w:color="auto" w:fill="FFFFFF"/>
        </w:rPr>
        <w:t xml:space="preserve"> </w:t>
      </w:r>
      <w:r w:rsidR="00E70FCB">
        <w:rPr>
          <w:rFonts w:ascii="Times New Roman" w:eastAsia="Calibri" w:hAnsi="Times New Roman" w:cs="Times New Roman"/>
          <w:bCs/>
          <w:color w:val="333333"/>
          <w:sz w:val="24"/>
          <w:szCs w:val="24"/>
          <w:shd w:val="clear" w:color="auto" w:fill="FFFFFF"/>
        </w:rPr>
        <w:t xml:space="preserve">required </w:t>
      </w:r>
      <w:r w:rsidR="004121BF" w:rsidRPr="00AB7928">
        <w:rPr>
          <w:rFonts w:ascii="Times New Roman" w:eastAsia="Times New Roman" w:hAnsi="Times New Roman" w:cs="Times New Roman"/>
          <w:snapToGrid w:val="0"/>
          <w:sz w:val="24"/>
          <w:szCs w:val="24"/>
        </w:rPr>
        <w:t>the Committee</w:t>
      </w:r>
      <w:r w:rsidR="00E70FCB">
        <w:rPr>
          <w:rFonts w:ascii="Times New Roman" w:eastAsia="Times New Roman" w:hAnsi="Times New Roman" w:cs="Times New Roman"/>
          <w:snapToGrid w:val="0"/>
          <w:sz w:val="24"/>
          <w:szCs w:val="24"/>
        </w:rPr>
        <w:t xml:space="preserve"> to</w:t>
      </w:r>
      <w:r w:rsidR="004121BF" w:rsidRPr="00AB7928">
        <w:rPr>
          <w:rFonts w:ascii="Times New Roman" w:eastAsia="Times New Roman" w:hAnsi="Times New Roman" w:cs="Times New Roman"/>
          <w:snapToGrid w:val="0"/>
          <w:sz w:val="24"/>
          <w:szCs w:val="24"/>
        </w:rPr>
        <w:t xml:space="preserve"> “take into account</w:t>
      </w:r>
      <w:r w:rsidR="006B7893" w:rsidRPr="00AB7928">
        <w:rPr>
          <w:rFonts w:ascii="Times New Roman" w:eastAsia="Times New Roman" w:hAnsi="Times New Roman" w:cs="Times New Roman"/>
          <w:snapToGrid w:val="0"/>
          <w:sz w:val="24"/>
          <w:szCs w:val="24"/>
        </w:rPr>
        <w:t xml:space="preserve"> </w:t>
      </w:r>
      <w:r w:rsidR="004121BF" w:rsidRPr="00AB7928">
        <w:rPr>
          <w:rFonts w:ascii="Times New Roman" w:eastAsia="Times New Roman" w:hAnsi="Times New Roman" w:cs="Times New Roman"/>
          <w:snapToGrid w:val="0"/>
          <w:sz w:val="24"/>
          <w:szCs w:val="24"/>
        </w:rPr>
        <w:t>all appropriate factors</w:t>
      </w:r>
      <w:r w:rsidR="006B7893" w:rsidRPr="00AB7928">
        <w:rPr>
          <w:rFonts w:ascii="Times New Roman" w:eastAsia="Times New Roman" w:hAnsi="Times New Roman" w:cs="Times New Roman"/>
          <w:snapToGrid w:val="0"/>
          <w:sz w:val="24"/>
          <w:szCs w:val="24"/>
        </w:rPr>
        <w:t>, including, but not limited to”</w:t>
      </w:r>
      <w:r w:rsidR="00E70FCB">
        <w:rPr>
          <w:rFonts w:ascii="Times New Roman" w:eastAsia="Times New Roman" w:hAnsi="Times New Roman" w:cs="Times New Roman"/>
          <w:snapToGrid w:val="0"/>
          <w:sz w:val="24"/>
          <w:szCs w:val="24"/>
        </w:rPr>
        <w:t xml:space="preserve"> </w:t>
      </w:r>
      <w:r w:rsidR="005416E8">
        <w:rPr>
          <w:rFonts w:ascii="Times New Roman" w:eastAsia="Times New Roman" w:hAnsi="Times New Roman" w:cs="Times New Roman"/>
          <w:snapToGrid w:val="0"/>
          <w:sz w:val="24"/>
          <w:szCs w:val="24"/>
        </w:rPr>
        <w:t xml:space="preserve">the </w:t>
      </w:r>
      <w:r w:rsidR="004923B7">
        <w:rPr>
          <w:rFonts w:ascii="Times New Roman" w:eastAsia="Times New Roman" w:hAnsi="Times New Roman" w:cs="Times New Roman"/>
          <w:snapToGrid w:val="0"/>
          <w:sz w:val="24"/>
          <w:szCs w:val="24"/>
        </w:rPr>
        <w:t>eight</w:t>
      </w:r>
      <w:r w:rsidR="00E70FCB">
        <w:rPr>
          <w:rFonts w:ascii="Times New Roman" w:eastAsia="Times New Roman" w:hAnsi="Times New Roman" w:cs="Times New Roman"/>
          <w:snapToGrid w:val="0"/>
          <w:sz w:val="24"/>
          <w:szCs w:val="24"/>
        </w:rPr>
        <w:t xml:space="preserve"> </w:t>
      </w:r>
      <w:r w:rsidR="005416E8">
        <w:rPr>
          <w:rFonts w:ascii="Times New Roman" w:eastAsia="Times New Roman" w:hAnsi="Times New Roman" w:cs="Times New Roman"/>
          <w:snapToGrid w:val="0"/>
          <w:sz w:val="24"/>
          <w:szCs w:val="24"/>
        </w:rPr>
        <w:t xml:space="preserve">factors </w:t>
      </w:r>
      <w:r w:rsidR="00E70FCB">
        <w:rPr>
          <w:rFonts w:ascii="Times New Roman" w:eastAsia="Times New Roman" w:hAnsi="Times New Roman" w:cs="Times New Roman"/>
          <w:snapToGrid w:val="0"/>
          <w:sz w:val="24"/>
          <w:szCs w:val="24"/>
        </w:rPr>
        <w:t>delineated</w:t>
      </w:r>
      <w:r w:rsidR="005416E8">
        <w:rPr>
          <w:rFonts w:ascii="Times New Roman" w:eastAsia="Times New Roman" w:hAnsi="Times New Roman" w:cs="Times New Roman"/>
          <w:snapToGrid w:val="0"/>
          <w:sz w:val="24"/>
          <w:szCs w:val="24"/>
        </w:rPr>
        <w:t xml:space="preserve"> therein</w:t>
      </w:r>
      <w:r w:rsidR="00810426">
        <w:rPr>
          <w:rFonts w:ascii="Times New Roman" w:eastAsia="Times New Roman" w:hAnsi="Times New Roman" w:cs="Times New Roman"/>
          <w:snapToGrid w:val="0"/>
          <w:sz w:val="24"/>
          <w:szCs w:val="24"/>
        </w:rPr>
        <w:t>.</w:t>
      </w:r>
      <w:r w:rsidR="00430207">
        <w:rPr>
          <w:rFonts w:ascii="Times New Roman" w:eastAsia="Times New Roman" w:hAnsi="Times New Roman" w:cs="Times New Roman"/>
          <w:snapToGrid w:val="0"/>
          <w:sz w:val="24"/>
          <w:szCs w:val="24"/>
        </w:rPr>
        <w:t xml:space="preserve">  </w:t>
      </w:r>
      <w:r w:rsidR="00430207" w:rsidRPr="00036E7A">
        <w:rPr>
          <w:rFonts w:ascii="Times New Roman" w:eastAsia="Times New Roman" w:hAnsi="Times New Roman" w:cs="Times New Roman"/>
          <w:snapToGrid w:val="0"/>
          <w:sz w:val="24"/>
          <w:szCs w:val="24"/>
          <w:u w:val="single"/>
        </w:rPr>
        <w:t xml:space="preserve">Neither here nor in the Report does the Committee </w:t>
      </w:r>
      <w:r w:rsidR="005963C5">
        <w:rPr>
          <w:rFonts w:ascii="Times New Roman" w:eastAsia="Times New Roman" w:hAnsi="Times New Roman" w:cs="Times New Roman"/>
          <w:snapToGrid w:val="0"/>
          <w:sz w:val="24"/>
          <w:szCs w:val="24"/>
          <w:u w:val="single"/>
        </w:rPr>
        <w:t xml:space="preserve">state </w:t>
      </w:r>
      <w:r w:rsidR="00C6620B">
        <w:rPr>
          <w:rFonts w:ascii="Times New Roman" w:eastAsia="Times New Roman" w:hAnsi="Times New Roman" w:cs="Times New Roman"/>
          <w:snapToGrid w:val="0"/>
          <w:sz w:val="24"/>
          <w:szCs w:val="24"/>
          <w:u w:val="single"/>
        </w:rPr>
        <w:t>that it has</w:t>
      </w:r>
      <w:r w:rsidR="00430207" w:rsidRPr="00036E7A">
        <w:rPr>
          <w:rFonts w:ascii="Times New Roman" w:eastAsia="Times New Roman" w:hAnsi="Times New Roman" w:cs="Times New Roman"/>
          <w:snapToGrid w:val="0"/>
          <w:sz w:val="24"/>
          <w:szCs w:val="24"/>
          <w:u w:val="single"/>
        </w:rPr>
        <w:t xml:space="preserve"> </w:t>
      </w:r>
      <w:r w:rsidR="00E70FCB">
        <w:rPr>
          <w:rFonts w:ascii="Times New Roman" w:eastAsia="Times New Roman" w:hAnsi="Times New Roman" w:cs="Times New Roman"/>
          <w:snapToGrid w:val="0"/>
          <w:sz w:val="24"/>
          <w:szCs w:val="24"/>
          <w:u w:val="single"/>
        </w:rPr>
        <w:t>“take[n] into account all appropriate factors”</w:t>
      </w:r>
      <w:r w:rsidR="00430207" w:rsidRPr="00036E7A">
        <w:rPr>
          <w:rFonts w:ascii="Times New Roman" w:eastAsia="Times New Roman" w:hAnsi="Times New Roman" w:cs="Times New Roman"/>
          <w:snapToGrid w:val="0"/>
          <w:sz w:val="24"/>
          <w:szCs w:val="24"/>
          <w:u w:val="single"/>
        </w:rPr>
        <w:t>.</w:t>
      </w:r>
    </w:p>
    <w:p w14:paraId="2F77B474" w14:textId="77777777" w:rsidR="00430207" w:rsidRDefault="00430207" w:rsidP="00913995">
      <w:pPr>
        <w:spacing w:after="0" w:line="240" w:lineRule="auto"/>
        <w:jc w:val="both"/>
        <w:rPr>
          <w:rFonts w:ascii="Times New Roman" w:eastAsia="Times New Roman" w:hAnsi="Times New Roman" w:cs="Times New Roman"/>
          <w:snapToGrid w:val="0"/>
          <w:sz w:val="24"/>
          <w:szCs w:val="24"/>
        </w:rPr>
      </w:pPr>
    </w:p>
    <w:p w14:paraId="1D1A29AB" w14:textId="6F886A3F" w:rsidR="00A34A99" w:rsidRDefault="006B7893" w:rsidP="00A34A99">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 xml:space="preserve">The </w:t>
      </w:r>
      <w:r w:rsidR="00A34A99">
        <w:rPr>
          <w:rFonts w:ascii="Times New Roman" w:eastAsia="Times New Roman" w:hAnsi="Times New Roman" w:cs="Times New Roman"/>
          <w:snapToGrid w:val="0"/>
          <w:sz w:val="24"/>
          <w:szCs w:val="24"/>
        </w:rPr>
        <w:t xml:space="preserve">letter then </w:t>
      </w:r>
      <w:r w:rsidR="000D7E09">
        <w:rPr>
          <w:rFonts w:ascii="Times New Roman" w:eastAsia="Times New Roman" w:hAnsi="Times New Roman" w:cs="Times New Roman"/>
          <w:snapToGrid w:val="0"/>
          <w:sz w:val="24"/>
          <w:szCs w:val="24"/>
        </w:rPr>
        <w:t>continues</w:t>
      </w:r>
      <w:r w:rsidR="00A34A99">
        <w:rPr>
          <w:rFonts w:ascii="Times New Roman" w:eastAsia="Times New Roman" w:hAnsi="Times New Roman" w:cs="Times New Roman"/>
          <w:snapToGrid w:val="0"/>
          <w:sz w:val="24"/>
          <w:szCs w:val="24"/>
        </w:rPr>
        <w:t xml:space="preserve">: </w:t>
      </w:r>
    </w:p>
    <w:p w14:paraId="55FE4B50" w14:textId="77777777" w:rsidR="00570511" w:rsidRDefault="00570511" w:rsidP="00A34A99">
      <w:pPr>
        <w:spacing w:after="0" w:line="240" w:lineRule="auto"/>
        <w:jc w:val="both"/>
        <w:rPr>
          <w:rFonts w:ascii="Times New Roman" w:eastAsia="Times New Roman" w:hAnsi="Times New Roman" w:cs="Times New Roman"/>
          <w:snapToGrid w:val="0"/>
          <w:sz w:val="24"/>
          <w:szCs w:val="24"/>
        </w:rPr>
      </w:pPr>
    </w:p>
    <w:p w14:paraId="6DB305A6" w14:textId="106C58A7" w:rsidR="003F431E" w:rsidRPr="00AB7928" w:rsidRDefault="006B7893" w:rsidP="00570511">
      <w:pPr>
        <w:spacing w:after="0" w:line="240" w:lineRule="auto"/>
        <w:ind w:left="1152" w:right="1152"/>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w:t>
      </w:r>
      <w:r w:rsidR="003F431E" w:rsidRPr="00AB7928">
        <w:rPr>
          <w:rFonts w:ascii="Times New Roman" w:eastAsia="Times New Roman" w:hAnsi="Times New Roman" w:cs="Times New Roman"/>
          <w:snapToGrid w:val="0"/>
          <w:sz w:val="24"/>
          <w:szCs w:val="24"/>
        </w:rPr>
        <w:t xml:space="preserve">The Committee </w:t>
      </w:r>
      <w:r w:rsidR="003F431E" w:rsidRPr="00AB7928">
        <w:rPr>
          <w:rFonts w:ascii="Times New Roman" w:eastAsia="Times New Roman" w:hAnsi="Times New Roman" w:cs="Times New Roman"/>
          <w:snapToGrid w:val="0"/>
          <w:sz w:val="24"/>
          <w:szCs w:val="24"/>
          <w:u w:val="single"/>
        </w:rPr>
        <w:t>carefully reviewed</w:t>
      </w:r>
      <w:r w:rsidR="003F431E" w:rsidRPr="00AB7928">
        <w:rPr>
          <w:rFonts w:ascii="Times New Roman" w:eastAsia="Times New Roman" w:hAnsi="Times New Roman" w:cs="Times New Roman"/>
          <w:snapToGrid w:val="0"/>
          <w:sz w:val="24"/>
          <w:szCs w:val="24"/>
        </w:rPr>
        <w:t xml:space="preserve"> the public testimony and extensive written submissions received in connection with the question of </w:t>
      </w:r>
      <w:r w:rsidR="003F431E" w:rsidRPr="00AB7928">
        <w:rPr>
          <w:rFonts w:ascii="Times New Roman" w:eastAsia="Times New Roman" w:hAnsi="Times New Roman" w:cs="Times New Roman"/>
          <w:snapToGrid w:val="0"/>
          <w:sz w:val="24"/>
          <w:szCs w:val="24"/>
          <w:u w:val="single"/>
        </w:rPr>
        <w:t>appropriate</w:t>
      </w:r>
      <w:r w:rsidR="003F431E" w:rsidRPr="00AB7928">
        <w:rPr>
          <w:rFonts w:ascii="Times New Roman" w:eastAsia="Times New Roman" w:hAnsi="Times New Roman" w:cs="Times New Roman"/>
          <w:snapToGrid w:val="0"/>
          <w:sz w:val="24"/>
          <w:szCs w:val="24"/>
        </w:rPr>
        <w:t xml:space="preserve"> compensation for New York State Officials.” </w:t>
      </w:r>
      <w:r w:rsidR="00665174">
        <w:rPr>
          <w:rFonts w:ascii="Times New Roman" w:eastAsia="Times New Roman" w:hAnsi="Times New Roman" w:cs="Times New Roman"/>
          <w:snapToGrid w:val="0"/>
          <w:sz w:val="24"/>
          <w:szCs w:val="24"/>
        </w:rPr>
        <w:t xml:space="preserve">  (underlining added).</w:t>
      </w:r>
    </w:p>
    <w:p w14:paraId="4A485CCC" w14:textId="77777777" w:rsidR="0096474E" w:rsidRPr="00AB7928" w:rsidRDefault="0096474E" w:rsidP="00AB7928">
      <w:pPr>
        <w:spacing w:after="0" w:line="240" w:lineRule="auto"/>
        <w:jc w:val="both"/>
        <w:rPr>
          <w:rFonts w:ascii="Times New Roman" w:eastAsia="Times New Roman" w:hAnsi="Times New Roman" w:cs="Times New Roman"/>
          <w:snapToGrid w:val="0"/>
          <w:sz w:val="24"/>
          <w:szCs w:val="24"/>
        </w:rPr>
      </w:pPr>
    </w:p>
    <w:p w14:paraId="37F8FBB6" w14:textId="3AC68033" w:rsidR="000D48D4" w:rsidRDefault="0096474E" w:rsidP="00AB7928">
      <w:pPr>
        <w:spacing w:after="0" w:line="240" w:lineRule="auto"/>
        <w:jc w:val="both"/>
        <w:rPr>
          <w:rFonts w:ascii="Times New Roman" w:eastAsia="Times New Roman" w:hAnsi="Times New Roman" w:cs="Times New Roman"/>
          <w:snapToGrid w:val="0"/>
          <w:sz w:val="24"/>
          <w:szCs w:val="24"/>
        </w:rPr>
      </w:pPr>
      <w:r w:rsidRPr="00D00ADA">
        <w:rPr>
          <w:rFonts w:ascii="Times New Roman" w:eastAsia="Times New Roman" w:hAnsi="Times New Roman" w:cs="Times New Roman"/>
          <w:snapToGrid w:val="0"/>
          <w:sz w:val="24"/>
          <w:szCs w:val="24"/>
          <w:u w:val="single"/>
        </w:rPr>
        <w:t>This is false</w:t>
      </w:r>
      <w:r w:rsidRPr="00AB7928">
        <w:rPr>
          <w:rFonts w:ascii="Times New Roman" w:eastAsia="Times New Roman" w:hAnsi="Times New Roman" w:cs="Times New Roman"/>
          <w:snapToGrid w:val="0"/>
          <w:sz w:val="24"/>
          <w:szCs w:val="24"/>
        </w:rPr>
        <w:t xml:space="preserve">.  Careful review would have </w:t>
      </w:r>
      <w:r w:rsidR="00510A50">
        <w:rPr>
          <w:rFonts w:ascii="Times New Roman" w:eastAsia="Times New Roman" w:hAnsi="Times New Roman" w:cs="Times New Roman"/>
          <w:snapToGrid w:val="0"/>
          <w:sz w:val="24"/>
          <w:szCs w:val="24"/>
        </w:rPr>
        <w:t xml:space="preserve">compelled </w:t>
      </w:r>
      <w:r w:rsidR="00911FCA">
        <w:rPr>
          <w:rFonts w:ascii="Times New Roman" w:eastAsia="Times New Roman" w:hAnsi="Times New Roman" w:cs="Times New Roman"/>
          <w:snapToGrid w:val="0"/>
          <w:sz w:val="24"/>
          <w:szCs w:val="24"/>
        </w:rPr>
        <w:t>a</w:t>
      </w:r>
      <w:r w:rsidRPr="00AB7928">
        <w:rPr>
          <w:rFonts w:ascii="Times New Roman" w:eastAsia="Times New Roman" w:hAnsi="Times New Roman" w:cs="Times New Roman"/>
          <w:snapToGrid w:val="0"/>
          <w:sz w:val="24"/>
          <w:szCs w:val="24"/>
        </w:rPr>
        <w:t xml:space="preserve"> </w:t>
      </w:r>
      <w:r w:rsidR="00CF2600" w:rsidRPr="00AB7928">
        <w:rPr>
          <w:rFonts w:ascii="Times New Roman" w:eastAsia="Times New Roman" w:hAnsi="Times New Roman" w:cs="Times New Roman"/>
          <w:snapToGrid w:val="0"/>
          <w:sz w:val="24"/>
          <w:szCs w:val="24"/>
        </w:rPr>
        <w:t>very different report</w:t>
      </w:r>
      <w:r w:rsidR="009448F4">
        <w:rPr>
          <w:rFonts w:ascii="Times New Roman" w:eastAsia="Times New Roman" w:hAnsi="Times New Roman" w:cs="Times New Roman"/>
          <w:snapToGrid w:val="0"/>
          <w:sz w:val="24"/>
          <w:szCs w:val="24"/>
        </w:rPr>
        <w:t xml:space="preserve">.  Indeed, </w:t>
      </w:r>
      <w:r w:rsidR="00913995">
        <w:rPr>
          <w:rFonts w:ascii="Times New Roman" w:eastAsia="Times New Roman" w:hAnsi="Times New Roman" w:cs="Times New Roman"/>
          <w:snapToGrid w:val="0"/>
          <w:sz w:val="24"/>
          <w:szCs w:val="24"/>
        </w:rPr>
        <w:t xml:space="preserve">the Committee needed to do no more than review </w:t>
      </w:r>
      <w:r w:rsidR="00665174">
        <w:rPr>
          <w:rFonts w:ascii="Times New Roman" w:eastAsia="Times New Roman" w:hAnsi="Times New Roman" w:cs="Times New Roman"/>
          <w:snapToGrid w:val="0"/>
          <w:sz w:val="24"/>
          <w:szCs w:val="24"/>
        </w:rPr>
        <w:t xml:space="preserve">the </w:t>
      </w:r>
      <w:r w:rsidR="00A63AEC">
        <w:rPr>
          <w:rFonts w:ascii="Times New Roman" w:eastAsia="Times New Roman" w:hAnsi="Times New Roman" w:cs="Times New Roman"/>
          <w:snapToGrid w:val="0"/>
          <w:sz w:val="24"/>
          <w:szCs w:val="24"/>
        </w:rPr>
        <w:t>“public testimony and extensive written submissions” of one witness in particular, Elena Sassower, director of the Center for Judicial Accountability, Inc. (CJA)</w:t>
      </w:r>
      <w:r w:rsidR="009720B6">
        <w:rPr>
          <w:rFonts w:ascii="Times New Roman" w:eastAsia="Times New Roman" w:hAnsi="Times New Roman" w:cs="Times New Roman"/>
          <w:snapToGrid w:val="0"/>
          <w:sz w:val="24"/>
          <w:szCs w:val="24"/>
        </w:rPr>
        <w:t xml:space="preserve"> – because </w:t>
      </w:r>
      <w:r w:rsidR="009448F4">
        <w:rPr>
          <w:rFonts w:ascii="Times New Roman" w:eastAsia="Times New Roman" w:hAnsi="Times New Roman" w:cs="Times New Roman"/>
          <w:snapToGrid w:val="0"/>
          <w:sz w:val="24"/>
          <w:szCs w:val="24"/>
        </w:rPr>
        <w:t>her</w:t>
      </w:r>
      <w:r w:rsidR="00665174">
        <w:rPr>
          <w:rFonts w:ascii="Times New Roman" w:eastAsia="Times New Roman" w:hAnsi="Times New Roman" w:cs="Times New Roman"/>
          <w:snapToGrid w:val="0"/>
          <w:sz w:val="24"/>
          <w:szCs w:val="24"/>
        </w:rPr>
        <w:t xml:space="preserve"> “extensive written submissions” </w:t>
      </w:r>
      <w:r w:rsidR="000D7E09">
        <w:rPr>
          <w:rFonts w:ascii="Times New Roman" w:eastAsia="Times New Roman" w:hAnsi="Times New Roman" w:cs="Times New Roman"/>
          <w:snapToGrid w:val="0"/>
          <w:sz w:val="24"/>
          <w:szCs w:val="24"/>
        </w:rPr>
        <w:t>were</w:t>
      </w:r>
      <w:r w:rsidR="009448F4">
        <w:rPr>
          <w:rFonts w:ascii="Times New Roman" w:eastAsia="Times New Roman" w:hAnsi="Times New Roman" w:cs="Times New Roman"/>
          <w:snapToGrid w:val="0"/>
          <w:sz w:val="24"/>
          <w:szCs w:val="24"/>
        </w:rPr>
        <w:t xml:space="preserve">, </w:t>
      </w:r>
      <w:r w:rsidR="009720B6">
        <w:rPr>
          <w:rFonts w:ascii="Times New Roman" w:eastAsia="Times New Roman" w:hAnsi="Times New Roman" w:cs="Times New Roman"/>
          <w:snapToGrid w:val="0"/>
          <w:sz w:val="24"/>
          <w:szCs w:val="24"/>
        </w:rPr>
        <w:t xml:space="preserve">as she </w:t>
      </w:r>
      <w:r w:rsidR="000D7E09">
        <w:rPr>
          <w:rFonts w:ascii="Times New Roman" w:eastAsia="Times New Roman" w:hAnsi="Times New Roman" w:cs="Times New Roman"/>
          <w:snapToGrid w:val="0"/>
          <w:sz w:val="24"/>
          <w:szCs w:val="24"/>
        </w:rPr>
        <w:t xml:space="preserve">stated </w:t>
      </w:r>
      <w:r w:rsidR="00913995">
        <w:rPr>
          <w:rFonts w:ascii="Times New Roman" w:eastAsia="Times New Roman" w:hAnsi="Times New Roman" w:cs="Times New Roman"/>
          <w:snapToGrid w:val="0"/>
          <w:sz w:val="24"/>
          <w:szCs w:val="24"/>
        </w:rPr>
        <w:t>them to be</w:t>
      </w:r>
      <w:r w:rsidR="000D7E09">
        <w:rPr>
          <w:rFonts w:ascii="Times New Roman" w:eastAsia="Times New Roman" w:hAnsi="Times New Roman" w:cs="Times New Roman"/>
          <w:snapToGrid w:val="0"/>
          <w:sz w:val="24"/>
          <w:szCs w:val="24"/>
        </w:rPr>
        <w:t xml:space="preserve">, </w:t>
      </w:r>
      <w:r w:rsidR="009720B6">
        <w:rPr>
          <w:rFonts w:ascii="Times New Roman" w:eastAsia="Times New Roman" w:hAnsi="Times New Roman" w:cs="Times New Roman"/>
          <w:snapToGrid w:val="0"/>
          <w:sz w:val="24"/>
          <w:szCs w:val="24"/>
        </w:rPr>
        <w:t xml:space="preserve">“dispositive” that Part HHH </w:t>
      </w:r>
      <w:r w:rsidR="00810426">
        <w:rPr>
          <w:rFonts w:ascii="Times New Roman" w:eastAsia="Times New Roman" w:hAnsi="Times New Roman" w:cs="Times New Roman"/>
          <w:snapToGrid w:val="0"/>
          <w:sz w:val="24"/>
          <w:szCs w:val="24"/>
        </w:rPr>
        <w:t>is</w:t>
      </w:r>
      <w:r w:rsidR="009720B6">
        <w:rPr>
          <w:rFonts w:ascii="Times New Roman" w:eastAsia="Times New Roman" w:hAnsi="Times New Roman" w:cs="Times New Roman"/>
          <w:snapToGrid w:val="0"/>
          <w:sz w:val="24"/>
          <w:szCs w:val="24"/>
        </w:rPr>
        <w:t xml:space="preserve"> unconstitutional and that the Committee had “nowhere to go” with its </w:t>
      </w:r>
      <w:r w:rsidR="0009497D">
        <w:rPr>
          <w:rFonts w:ascii="Times New Roman" w:eastAsia="Times New Roman" w:hAnsi="Times New Roman" w:cs="Times New Roman"/>
          <w:snapToGrid w:val="0"/>
          <w:sz w:val="24"/>
          <w:szCs w:val="24"/>
        </w:rPr>
        <w:t xml:space="preserve">salary increase </w:t>
      </w:r>
      <w:r w:rsidR="009720B6">
        <w:rPr>
          <w:rFonts w:ascii="Times New Roman" w:eastAsia="Times New Roman" w:hAnsi="Times New Roman" w:cs="Times New Roman"/>
          <w:snapToGrid w:val="0"/>
          <w:sz w:val="24"/>
          <w:szCs w:val="24"/>
        </w:rPr>
        <w:t>recommendations</w:t>
      </w:r>
      <w:r w:rsidR="00665174">
        <w:rPr>
          <w:rFonts w:ascii="Times New Roman" w:eastAsia="Times New Roman" w:hAnsi="Times New Roman" w:cs="Times New Roman"/>
          <w:snapToGrid w:val="0"/>
          <w:sz w:val="24"/>
          <w:szCs w:val="24"/>
        </w:rPr>
        <w:t xml:space="preserve"> b</w:t>
      </w:r>
      <w:r w:rsidR="00913995">
        <w:rPr>
          <w:rFonts w:ascii="Times New Roman" w:eastAsia="Times New Roman" w:hAnsi="Times New Roman" w:cs="Times New Roman"/>
          <w:snapToGrid w:val="0"/>
          <w:sz w:val="24"/>
          <w:szCs w:val="24"/>
        </w:rPr>
        <w:t xml:space="preserve">ecause </w:t>
      </w:r>
      <w:r w:rsidR="00E70FCB">
        <w:rPr>
          <w:rFonts w:ascii="Times New Roman" w:eastAsia="Times New Roman" w:hAnsi="Times New Roman" w:cs="Times New Roman"/>
          <w:snapToGrid w:val="0"/>
          <w:sz w:val="24"/>
          <w:szCs w:val="24"/>
        </w:rPr>
        <w:t>the f</w:t>
      </w:r>
      <w:r w:rsidR="00665174">
        <w:rPr>
          <w:rFonts w:ascii="Times New Roman" w:eastAsia="Times New Roman" w:hAnsi="Times New Roman" w:cs="Times New Roman"/>
          <w:snapToGrid w:val="0"/>
          <w:sz w:val="24"/>
          <w:szCs w:val="24"/>
        </w:rPr>
        <w:t xml:space="preserve">irst </w:t>
      </w:r>
      <w:r w:rsidR="00D00ADA">
        <w:rPr>
          <w:rFonts w:ascii="Times New Roman" w:eastAsia="Times New Roman" w:hAnsi="Times New Roman" w:cs="Times New Roman"/>
          <w:snapToGrid w:val="0"/>
          <w:sz w:val="24"/>
          <w:szCs w:val="24"/>
        </w:rPr>
        <w:t>delineated</w:t>
      </w:r>
      <w:r w:rsidR="00665174">
        <w:rPr>
          <w:rFonts w:ascii="Times New Roman" w:eastAsia="Times New Roman" w:hAnsi="Times New Roman" w:cs="Times New Roman"/>
          <w:snapToGrid w:val="0"/>
          <w:sz w:val="24"/>
          <w:szCs w:val="24"/>
        </w:rPr>
        <w:t xml:space="preserve"> factor</w:t>
      </w:r>
      <w:r w:rsidR="006A5197">
        <w:rPr>
          <w:rFonts w:ascii="Times New Roman" w:eastAsia="Times New Roman" w:hAnsi="Times New Roman" w:cs="Times New Roman"/>
          <w:snapToGrid w:val="0"/>
          <w:sz w:val="24"/>
          <w:szCs w:val="24"/>
        </w:rPr>
        <w:t xml:space="preserve"> </w:t>
      </w:r>
      <w:r w:rsidR="000D48D4">
        <w:rPr>
          <w:rFonts w:ascii="Times New Roman" w:eastAsia="Times New Roman" w:hAnsi="Times New Roman" w:cs="Times New Roman"/>
          <w:snapToGrid w:val="0"/>
          <w:sz w:val="24"/>
          <w:szCs w:val="24"/>
        </w:rPr>
        <w:t>that the Committee was required to “take into account”</w:t>
      </w:r>
      <w:r w:rsidR="00E70FCB">
        <w:rPr>
          <w:rFonts w:ascii="Times New Roman" w:eastAsia="Times New Roman" w:hAnsi="Times New Roman" w:cs="Times New Roman"/>
          <w:snapToGrid w:val="0"/>
          <w:sz w:val="24"/>
          <w:szCs w:val="24"/>
        </w:rPr>
        <w:t xml:space="preserve"> – “the parties’ performance and timely fulfillment of their statutory and Constitutional responsibilities” –</w:t>
      </w:r>
      <w:r w:rsidR="000D48D4">
        <w:rPr>
          <w:rFonts w:ascii="Times New Roman" w:eastAsia="Times New Roman" w:hAnsi="Times New Roman" w:cs="Times New Roman"/>
          <w:snapToGrid w:val="0"/>
          <w:sz w:val="24"/>
          <w:szCs w:val="24"/>
        </w:rPr>
        <w:t xml:space="preserve"> </w:t>
      </w:r>
      <w:r w:rsidR="006A5197">
        <w:rPr>
          <w:rFonts w:ascii="Times New Roman" w:eastAsia="Times New Roman" w:hAnsi="Times New Roman" w:cs="Times New Roman"/>
          <w:snapToGrid w:val="0"/>
          <w:sz w:val="24"/>
          <w:szCs w:val="24"/>
        </w:rPr>
        <w:t>made the others irrelevant</w:t>
      </w:r>
      <w:r w:rsidR="00CF2600" w:rsidRPr="00AB7928">
        <w:rPr>
          <w:rFonts w:ascii="Times New Roman" w:eastAsia="Times New Roman" w:hAnsi="Times New Roman" w:cs="Times New Roman"/>
          <w:snapToGrid w:val="0"/>
          <w:sz w:val="24"/>
          <w:szCs w:val="24"/>
        </w:rPr>
        <w:t xml:space="preserve">. </w:t>
      </w:r>
      <w:r w:rsidR="009720B6">
        <w:rPr>
          <w:rFonts w:ascii="Times New Roman" w:eastAsia="Times New Roman" w:hAnsi="Times New Roman" w:cs="Times New Roman"/>
          <w:snapToGrid w:val="0"/>
          <w:sz w:val="24"/>
          <w:szCs w:val="24"/>
        </w:rPr>
        <w:t xml:space="preserve"> </w:t>
      </w:r>
    </w:p>
    <w:p w14:paraId="75CEE2D0" w14:textId="77777777" w:rsidR="000D48D4" w:rsidRDefault="000D48D4" w:rsidP="00AB7928">
      <w:pPr>
        <w:spacing w:after="0" w:line="240" w:lineRule="auto"/>
        <w:jc w:val="both"/>
        <w:rPr>
          <w:rFonts w:ascii="Times New Roman" w:eastAsia="Times New Roman" w:hAnsi="Times New Roman" w:cs="Times New Roman"/>
          <w:snapToGrid w:val="0"/>
          <w:sz w:val="24"/>
          <w:szCs w:val="24"/>
        </w:rPr>
      </w:pPr>
    </w:p>
    <w:p w14:paraId="1ABBCF6F" w14:textId="27E5EB38" w:rsidR="00CF2600" w:rsidRPr="00AB7928" w:rsidRDefault="00CF2600" w:rsidP="00AB7928">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 xml:space="preserve">Then again, </w:t>
      </w:r>
      <w:r w:rsidR="00911FCA">
        <w:rPr>
          <w:rFonts w:ascii="Times New Roman" w:eastAsia="Times New Roman" w:hAnsi="Times New Roman" w:cs="Times New Roman"/>
          <w:snapToGrid w:val="0"/>
          <w:sz w:val="24"/>
          <w:szCs w:val="24"/>
        </w:rPr>
        <w:t>“the question” before the Committee was</w:t>
      </w:r>
      <w:r w:rsidRPr="00AB7928">
        <w:rPr>
          <w:rFonts w:ascii="Times New Roman" w:eastAsia="Times New Roman" w:hAnsi="Times New Roman" w:cs="Times New Roman"/>
          <w:snapToGrid w:val="0"/>
          <w:sz w:val="24"/>
          <w:szCs w:val="24"/>
        </w:rPr>
        <w:t xml:space="preserve"> not</w:t>
      </w:r>
      <w:r w:rsidR="0009497D">
        <w:rPr>
          <w:rFonts w:ascii="Times New Roman" w:eastAsia="Times New Roman" w:hAnsi="Times New Roman" w:cs="Times New Roman"/>
          <w:snapToGrid w:val="0"/>
          <w:sz w:val="24"/>
          <w:szCs w:val="24"/>
        </w:rPr>
        <w:t xml:space="preserve">, as </w:t>
      </w:r>
      <w:r w:rsidR="004315FA">
        <w:rPr>
          <w:rFonts w:ascii="Times New Roman" w:eastAsia="Times New Roman" w:hAnsi="Times New Roman" w:cs="Times New Roman"/>
          <w:snapToGrid w:val="0"/>
          <w:sz w:val="24"/>
          <w:szCs w:val="24"/>
        </w:rPr>
        <w:t xml:space="preserve">the letter </w:t>
      </w:r>
      <w:r w:rsidR="005416E8">
        <w:rPr>
          <w:rFonts w:ascii="Times New Roman" w:eastAsia="Times New Roman" w:hAnsi="Times New Roman" w:cs="Times New Roman"/>
          <w:snapToGrid w:val="0"/>
          <w:sz w:val="24"/>
          <w:szCs w:val="24"/>
        </w:rPr>
        <w:t xml:space="preserve">here </w:t>
      </w:r>
      <w:r w:rsidR="0009497D">
        <w:rPr>
          <w:rFonts w:ascii="Times New Roman" w:eastAsia="Times New Roman" w:hAnsi="Times New Roman" w:cs="Times New Roman"/>
          <w:snapToGrid w:val="0"/>
          <w:sz w:val="24"/>
          <w:szCs w:val="24"/>
        </w:rPr>
        <w:t>purport</w:t>
      </w:r>
      <w:r w:rsidR="00430207">
        <w:rPr>
          <w:rFonts w:ascii="Times New Roman" w:eastAsia="Times New Roman" w:hAnsi="Times New Roman" w:cs="Times New Roman"/>
          <w:snapToGrid w:val="0"/>
          <w:sz w:val="24"/>
          <w:szCs w:val="24"/>
        </w:rPr>
        <w:t>s</w:t>
      </w:r>
      <w:r w:rsidR="0009497D">
        <w:rPr>
          <w:rFonts w:ascii="Times New Roman" w:eastAsia="Times New Roman" w:hAnsi="Times New Roman" w:cs="Times New Roman"/>
          <w:snapToGrid w:val="0"/>
          <w:sz w:val="24"/>
          <w:szCs w:val="24"/>
        </w:rPr>
        <w:t xml:space="preserve">, </w:t>
      </w:r>
      <w:r w:rsidRPr="00AB7928">
        <w:rPr>
          <w:rFonts w:ascii="Times New Roman" w:eastAsia="Times New Roman" w:hAnsi="Times New Roman" w:cs="Times New Roman"/>
          <w:snapToGrid w:val="0"/>
          <w:sz w:val="24"/>
          <w:szCs w:val="24"/>
        </w:rPr>
        <w:t>“appropriate compensation”, but</w:t>
      </w:r>
      <w:r w:rsidR="009720B6">
        <w:rPr>
          <w:rFonts w:ascii="Times New Roman" w:eastAsia="Times New Roman" w:hAnsi="Times New Roman" w:cs="Times New Roman"/>
          <w:snapToGrid w:val="0"/>
          <w:sz w:val="24"/>
          <w:szCs w:val="24"/>
        </w:rPr>
        <w:t xml:space="preserve">, as </w:t>
      </w:r>
      <w:bookmarkStart w:id="1" w:name="_Hlk533747732"/>
      <w:r w:rsidR="009720B6">
        <w:rPr>
          <w:rFonts w:ascii="Times New Roman" w:eastAsia="Times New Roman" w:hAnsi="Times New Roman" w:cs="Times New Roman"/>
          <w:snapToGrid w:val="0"/>
          <w:sz w:val="24"/>
          <w:szCs w:val="24"/>
        </w:rPr>
        <w:t xml:space="preserve">the statute’s </w:t>
      </w:r>
      <w:r w:rsidR="009720B6" w:rsidRPr="00AB7928">
        <w:rPr>
          <w:rFonts w:ascii="Times New Roman" w:eastAsia="Calibri" w:hAnsi="Times New Roman" w:cs="Times New Roman"/>
          <w:bCs/>
          <w:color w:val="333333"/>
          <w:sz w:val="24"/>
          <w:szCs w:val="24"/>
          <w:shd w:val="clear" w:color="auto" w:fill="FFFFFF"/>
        </w:rPr>
        <w:t>§</w:t>
      </w:r>
      <w:bookmarkEnd w:id="1"/>
      <w:r w:rsidR="009720B6">
        <w:rPr>
          <w:rFonts w:ascii="Times New Roman" w:eastAsia="Times New Roman" w:hAnsi="Times New Roman" w:cs="Times New Roman"/>
          <w:snapToGrid w:val="0"/>
          <w:sz w:val="24"/>
          <w:szCs w:val="24"/>
        </w:rPr>
        <w:t>1</w:t>
      </w:r>
      <w:r w:rsidR="00F30B61">
        <w:rPr>
          <w:rFonts w:ascii="Times New Roman" w:eastAsia="Times New Roman" w:hAnsi="Times New Roman" w:cs="Times New Roman"/>
          <w:snapToGrid w:val="0"/>
          <w:sz w:val="24"/>
          <w:szCs w:val="24"/>
        </w:rPr>
        <w:t xml:space="preserve"> </w:t>
      </w:r>
      <w:proofErr w:type="gramStart"/>
      <w:r w:rsidR="00430207">
        <w:rPr>
          <w:rFonts w:ascii="Times New Roman" w:eastAsia="Times New Roman" w:hAnsi="Times New Roman" w:cs="Times New Roman"/>
          <w:snapToGrid w:val="0"/>
          <w:sz w:val="24"/>
          <w:szCs w:val="24"/>
        </w:rPr>
        <w:t>states</w:t>
      </w:r>
      <w:proofErr w:type="gramEnd"/>
      <w:r w:rsidR="009720B6">
        <w:rPr>
          <w:rFonts w:ascii="Times New Roman" w:eastAsia="Times New Roman" w:hAnsi="Times New Roman" w:cs="Times New Roman"/>
          <w:snapToGrid w:val="0"/>
          <w:sz w:val="24"/>
          <w:szCs w:val="24"/>
        </w:rPr>
        <w:t xml:space="preserve">, </w:t>
      </w:r>
      <w:r w:rsidRPr="00AB7928">
        <w:rPr>
          <w:rFonts w:ascii="Times New Roman" w:eastAsia="Times New Roman" w:hAnsi="Times New Roman" w:cs="Times New Roman"/>
          <w:snapToGrid w:val="0"/>
          <w:sz w:val="24"/>
          <w:szCs w:val="24"/>
        </w:rPr>
        <w:t xml:space="preserve">“adequate levels of compensation” – </w:t>
      </w:r>
      <w:r w:rsidR="009720B6">
        <w:rPr>
          <w:rFonts w:ascii="Times New Roman" w:eastAsia="Times New Roman" w:hAnsi="Times New Roman" w:cs="Times New Roman"/>
          <w:snapToGrid w:val="0"/>
          <w:sz w:val="24"/>
          <w:szCs w:val="24"/>
        </w:rPr>
        <w:t>with t</w:t>
      </w:r>
      <w:r w:rsidR="00B325D7">
        <w:rPr>
          <w:rFonts w:ascii="Times New Roman" w:eastAsia="Times New Roman" w:hAnsi="Times New Roman" w:cs="Times New Roman"/>
          <w:snapToGrid w:val="0"/>
          <w:sz w:val="24"/>
          <w:szCs w:val="24"/>
        </w:rPr>
        <w:t>he statute’s</w:t>
      </w:r>
      <w:r w:rsidR="009720B6">
        <w:rPr>
          <w:rFonts w:ascii="Times New Roman" w:eastAsia="Times New Roman" w:hAnsi="Times New Roman" w:cs="Times New Roman"/>
          <w:snapToGrid w:val="0"/>
          <w:sz w:val="24"/>
          <w:szCs w:val="24"/>
        </w:rPr>
        <w:t xml:space="preserve"> </w:t>
      </w:r>
      <w:r w:rsidR="009720B6" w:rsidRPr="00AB7928">
        <w:rPr>
          <w:rFonts w:ascii="Times New Roman" w:eastAsia="Calibri" w:hAnsi="Times New Roman" w:cs="Times New Roman"/>
          <w:bCs/>
          <w:color w:val="333333"/>
          <w:sz w:val="24"/>
          <w:szCs w:val="24"/>
          <w:shd w:val="clear" w:color="auto" w:fill="FFFFFF"/>
        </w:rPr>
        <w:t>§</w:t>
      </w:r>
      <w:r w:rsidR="009720B6" w:rsidRPr="00AB7928">
        <w:rPr>
          <w:rFonts w:ascii="Times New Roman" w:eastAsia="Times New Roman" w:hAnsi="Times New Roman" w:cs="Times New Roman"/>
          <w:snapToGrid w:val="0"/>
          <w:sz w:val="24"/>
          <w:szCs w:val="24"/>
        </w:rPr>
        <w:t>2</w:t>
      </w:r>
      <w:r w:rsidR="00B325D7">
        <w:rPr>
          <w:rFonts w:ascii="Times New Roman" w:eastAsia="Times New Roman" w:hAnsi="Times New Roman" w:cs="Times New Roman"/>
          <w:snapToGrid w:val="0"/>
          <w:sz w:val="24"/>
          <w:szCs w:val="24"/>
        </w:rPr>
        <w:t>.</w:t>
      </w:r>
      <w:r w:rsidRPr="00AB7928">
        <w:rPr>
          <w:rFonts w:ascii="Times New Roman" w:eastAsia="Times New Roman" w:hAnsi="Times New Roman" w:cs="Times New Roman"/>
          <w:snapToGrid w:val="0"/>
          <w:sz w:val="24"/>
          <w:szCs w:val="24"/>
        </w:rPr>
        <w:t xml:space="preserve">1, </w:t>
      </w:r>
      <w:r w:rsidR="004B6C20">
        <w:rPr>
          <w:rFonts w:ascii="Times New Roman" w:eastAsia="Times New Roman" w:hAnsi="Times New Roman" w:cs="Times New Roman"/>
          <w:snapToGrid w:val="0"/>
          <w:sz w:val="24"/>
          <w:szCs w:val="24"/>
        </w:rPr>
        <w:t>re</w:t>
      </w:r>
      <w:r w:rsidR="009720B6">
        <w:rPr>
          <w:rFonts w:ascii="Times New Roman" w:eastAsia="Times New Roman" w:hAnsi="Times New Roman" w:cs="Times New Roman"/>
          <w:snapToGrid w:val="0"/>
          <w:sz w:val="24"/>
          <w:szCs w:val="24"/>
        </w:rPr>
        <w:t xml:space="preserve">inforcing this by the phrase </w:t>
      </w:r>
      <w:r w:rsidRPr="00AB7928">
        <w:rPr>
          <w:rFonts w:ascii="Times New Roman" w:eastAsia="Times New Roman" w:hAnsi="Times New Roman" w:cs="Times New Roman"/>
          <w:snapToGrid w:val="0"/>
          <w:sz w:val="24"/>
          <w:szCs w:val="24"/>
        </w:rPr>
        <w:t>“prevailing adequacy”.</w:t>
      </w:r>
    </w:p>
    <w:p w14:paraId="46D394E0" w14:textId="77777777" w:rsidR="00B325D7" w:rsidRDefault="00B325D7" w:rsidP="00AB7928">
      <w:pPr>
        <w:spacing w:after="0" w:line="240" w:lineRule="auto"/>
        <w:jc w:val="both"/>
        <w:rPr>
          <w:rFonts w:ascii="Times New Roman" w:eastAsia="Times New Roman" w:hAnsi="Times New Roman" w:cs="Times New Roman"/>
          <w:snapToGrid w:val="0"/>
          <w:sz w:val="24"/>
          <w:szCs w:val="24"/>
        </w:rPr>
      </w:pPr>
    </w:p>
    <w:p w14:paraId="10D647B5" w14:textId="5EAA8624" w:rsidR="00510A50" w:rsidRDefault="005F1878"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letter concludes with </w:t>
      </w:r>
      <w:r w:rsidR="00CF2600" w:rsidRPr="00AB7928">
        <w:rPr>
          <w:rFonts w:ascii="Times New Roman" w:eastAsia="Times New Roman" w:hAnsi="Times New Roman" w:cs="Times New Roman"/>
          <w:snapToGrid w:val="0"/>
          <w:sz w:val="24"/>
          <w:szCs w:val="24"/>
        </w:rPr>
        <w:t xml:space="preserve">Chair McCall thanking the </w:t>
      </w:r>
      <w:r w:rsidR="00913995">
        <w:rPr>
          <w:rFonts w:ascii="Times New Roman" w:eastAsia="Times New Roman" w:hAnsi="Times New Roman" w:cs="Times New Roman"/>
          <w:snapToGrid w:val="0"/>
          <w:sz w:val="24"/>
          <w:szCs w:val="24"/>
        </w:rPr>
        <w:t xml:space="preserve">Committee </w:t>
      </w:r>
      <w:r w:rsidR="00CF2600" w:rsidRPr="00AB7928">
        <w:rPr>
          <w:rFonts w:ascii="Times New Roman" w:eastAsia="Times New Roman" w:hAnsi="Times New Roman" w:cs="Times New Roman"/>
          <w:snapToGrid w:val="0"/>
          <w:sz w:val="24"/>
          <w:szCs w:val="24"/>
        </w:rPr>
        <w:t>members for “their thoughtful consideration and hard work in dealing with this important issue”</w:t>
      </w:r>
      <w:r w:rsidR="00510A50">
        <w:rPr>
          <w:rFonts w:ascii="Times New Roman" w:eastAsia="Times New Roman" w:hAnsi="Times New Roman" w:cs="Times New Roman"/>
          <w:snapToGrid w:val="0"/>
          <w:sz w:val="24"/>
          <w:szCs w:val="24"/>
        </w:rPr>
        <w:t>.  This is</w:t>
      </w:r>
      <w:r>
        <w:rPr>
          <w:rFonts w:ascii="Times New Roman" w:eastAsia="Times New Roman" w:hAnsi="Times New Roman" w:cs="Times New Roman"/>
          <w:snapToGrid w:val="0"/>
          <w:sz w:val="24"/>
          <w:szCs w:val="24"/>
        </w:rPr>
        <w:t xml:space="preserve"> utter deceit</w:t>
      </w:r>
      <w:r w:rsidR="00F30B61">
        <w:rPr>
          <w:rFonts w:ascii="Times New Roman" w:eastAsia="Times New Roman" w:hAnsi="Times New Roman" w:cs="Times New Roman"/>
          <w:snapToGrid w:val="0"/>
          <w:sz w:val="24"/>
          <w:szCs w:val="24"/>
        </w:rPr>
        <w:t xml:space="preserve">.  </w:t>
      </w:r>
      <w:r w:rsidR="00913995">
        <w:rPr>
          <w:rFonts w:ascii="Times New Roman" w:eastAsia="Times New Roman" w:hAnsi="Times New Roman" w:cs="Times New Roman"/>
          <w:snapToGrid w:val="0"/>
          <w:sz w:val="24"/>
          <w:szCs w:val="24"/>
        </w:rPr>
        <w:t>T</w:t>
      </w:r>
      <w:r w:rsidR="009720B6">
        <w:rPr>
          <w:rFonts w:ascii="Times New Roman" w:eastAsia="Times New Roman" w:hAnsi="Times New Roman" w:cs="Times New Roman"/>
          <w:snapToGrid w:val="0"/>
          <w:sz w:val="24"/>
          <w:szCs w:val="24"/>
        </w:rPr>
        <w:t>heir</w:t>
      </w:r>
      <w:r w:rsidR="00665174">
        <w:rPr>
          <w:rFonts w:ascii="Times New Roman" w:eastAsia="Times New Roman" w:hAnsi="Times New Roman" w:cs="Times New Roman"/>
          <w:snapToGrid w:val="0"/>
          <w:sz w:val="24"/>
          <w:szCs w:val="24"/>
        </w:rPr>
        <w:t xml:space="preserve"> work and his</w:t>
      </w:r>
      <w:r w:rsidR="009720B6">
        <w:rPr>
          <w:rFonts w:ascii="Times New Roman" w:eastAsia="Times New Roman" w:hAnsi="Times New Roman" w:cs="Times New Roman"/>
          <w:snapToGrid w:val="0"/>
          <w:sz w:val="24"/>
          <w:szCs w:val="24"/>
        </w:rPr>
        <w:t xml:space="preserve"> </w:t>
      </w:r>
      <w:r w:rsidR="00510A50">
        <w:rPr>
          <w:rFonts w:ascii="Times New Roman" w:eastAsia="Times New Roman" w:hAnsi="Times New Roman" w:cs="Times New Roman"/>
          <w:snapToGrid w:val="0"/>
          <w:sz w:val="24"/>
          <w:szCs w:val="24"/>
        </w:rPr>
        <w:t xml:space="preserve">was </w:t>
      </w:r>
      <w:r w:rsidR="009720B6">
        <w:rPr>
          <w:rFonts w:ascii="Times New Roman" w:eastAsia="Times New Roman" w:hAnsi="Times New Roman" w:cs="Times New Roman"/>
          <w:snapToGrid w:val="0"/>
          <w:sz w:val="24"/>
          <w:szCs w:val="24"/>
        </w:rPr>
        <w:t>s</w:t>
      </w:r>
      <w:r w:rsidR="00510A50">
        <w:rPr>
          <w:rFonts w:ascii="Times New Roman" w:eastAsia="Times New Roman" w:hAnsi="Times New Roman" w:cs="Times New Roman"/>
          <w:snapToGrid w:val="0"/>
          <w:sz w:val="24"/>
          <w:szCs w:val="24"/>
        </w:rPr>
        <w:t>uperficial, perfunctory</w:t>
      </w:r>
      <w:r w:rsidR="009720B6">
        <w:rPr>
          <w:rFonts w:ascii="Times New Roman" w:eastAsia="Times New Roman" w:hAnsi="Times New Roman" w:cs="Times New Roman"/>
          <w:snapToGrid w:val="0"/>
          <w:sz w:val="24"/>
          <w:szCs w:val="24"/>
        </w:rPr>
        <w:t>, and driven by bias</w:t>
      </w:r>
      <w:r w:rsidR="00913995">
        <w:rPr>
          <w:rFonts w:ascii="Times New Roman" w:eastAsia="Times New Roman" w:hAnsi="Times New Roman" w:cs="Times New Roman"/>
          <w:snapToGrid w:val="0"/>
          <w:sz w:val="24"/>
          <w:szCs w:val="24"/>
        </w:rPr>
        <w:t xml:space="preserve">, </w:t>
      </w:r>
      <w:r w:rsidR="00510A50">
        <w:rPr>
          <w:rFonts w:ascii="Times New Roman" w:eastAsia="Times New Roman" w:hAnsi="Times New Roman" w:cs="Times New Roman"/>
          <w:snapToGrid w:val="0"/>
          <w:sz w:val="24"/>
          <w:szCs w:val="24"/>
        </w:rPr>
        <w:t xml:space="preserve">and their culminating </w:t>
      </w:r>
      <w:r w:rsidR="0009497D">
        <w:rPr>
          <w:rFonts w:ascii="Times New Roman" w:eastAsia="Times New Roman" w:hAnsi="Times New Roman" w:cs="Times New Roman"/>
          <w:snapToGrid w:val="0"/>
          <w:sz w:val="24"/>
          <w:szCs w:val="24"/>
        </w:rPr>
        <w:t xml:space="preserve">December 10, 2018 </w:t>
      </w:r>
      <w:r w:rsidR="000D48D4">
        <w:rPr>
          <w:rFonts w:ascii="Times New Roman" w:eastAsia="Times New Roman" w:hAnsi="Times New Roman" w:cs="Times New Roman"/>
          <w:snapToGrid w:val="0"/>
          <w:sz w:val="24"/>
          <w:szCs w:val="24"/>
        </w:rPr>
        <w:t>R</w:t>
      </w:r>
      <w:r w:rsidR="00510A50">
        <w:rPr>
          <w:rFonts w:ascii="Times New Roman" w:eastAsia="Times New Roman" w:hAnsi="Times New Roman" w:cs="Times New Roman"/>
          <w:snapToGrid w:val="0"/>
          <w:sz w:val="24"/>
          <w:szCs w:val="24"/>
        </w:rPr>
        <w:t>eport a fraud</w:t>
      </w:r>
      <w:r w:rsidR="00913995">
        <w:rPr>
          <w:rFonts w:ascii="Times New Roman" w:eastAsia="Times New Roman" w:hAnsi="Times New Roman" w:cs="Times New Roman"/>
          <w:snapToGrid w:val="0"/>
          <w:sz w:val="24"/>
          <w:szCs w:val="24"/>
        </w:rPr>
        <w:t xml:space="preserve"> – as Chair McCall is presumed to know</w:t>
      </w:r>
      <w:r w:rsidR="00510A50">
        <w:rPr>
          <w:rFonts w:ascii="Times New Roman" w:eastAsia="Times New Roman" w:hAnsi="Times New Roman" w:cs="Times New Roman"/>
          <w:snapToGrid w:val="0"/>
          <w:sz w:val="24"/>
          <w:szCs w:val="24"/>
        </w:rPr>
        <w:t>.</w:t>
      </w:r>
    </w:p>
    <w:p w14:paraId="45C74C43" w14:textId="77777777" w:rsidR="00510A50" w:rsidRDefault="00510A50" w:rsidP="00AB7928">
      <w:pPr>
        <w:spacing w:after="0" w:line="240" w:lineRule="auto"/>
        <w:jc w:val="both"/>
        <w:rPr>
          <w:rFonts w:ascii="Times New Roman" w:eastAsia="Times New Roman" w:hAnsi="Times New Roman" w:cs="Times New Roman"/>
          <w:snapToGrid w:val="0"/>
          <w:sz w:val="24"/>
          <w:szCs w:val="24"/>
        </w:rPr>
      </w:pPr>
    </w:p>
    <w:p w14:paraId="635EEA87" w14:textId="5DE62AB7" w:rsidR="001C7006" w:rsidRDefault="009720B6"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page </w:t>
      </w:r>
      <w:r w:rsidR="00F30B61">
        <w:rPr>
          <w:rFonts w:ascii="Times New Roman" w:eastAsia="Times New Roman" w:hAnsi="Times New Roman" w:cs="Times New Roman"/>
          <w:snapToGrid w:val="0"/>
          <w:sz w:val="24"/>
          <w:szCs w:val="24"/>
        </w:rPr>
        <w:t xml:space="preserve">following the letter </w:t>
      </w:r>
      <w:r>
        <w:rPr>
          <w:rFonts w:ascii="Times New Roman" w:eastAsia="Times New Roman" w:hAnsi="Times New Roman" w:cs="Times New Roman"/>
          <w:snapToGrid w:val="0"/>
          <w:sz w:val="24"/>
          <w:szCs w:val="24"/>
        </w:rPr>
        <w:t>is a</w:t>
      </w:r>
      <w:r w:rsidR="00F159CA">
        <w:rPr>
          <w:rFonts w:ascii="Times New Roman" w:eastAsia="Times New Roman" w:hAnsi="Times New Roman" w:cs="Times New Roman"/>
          <w:snapToGrid w:val="0"/>
          <w:sz w:val="24"/>
          <w:szCs w:val="24"/>
        </w:rPr>
        <w:t xml:space="preserve"> “Table of Contents” </w:t>
      </w:r>
      <w:r w:rsidR="005F1878">
        <w:rPr>
          <w:rFonts w:ascii="Times New Roman" w:eastAsia="Times New Roman" w:hAnsi="Times New Roman" w:cs="Times New Roman"/>
          <w:snapToGrid w:val="0"/>
          <w:sz w:val="24"/>
          <w:szCs w:val="24"/>
        </w:rPr>
        <w:t xml:space="preserve"> for the </w:t>
      </w:r>
      <w:r w:rsidR="00A8788F">
        <w:rPr>
          <w:rFonts w:ascii="Times New Roman" w:eastAsia="Times New Roman" w:hAnsi="Times New Roman" w:cs="Times New Roman"/>
          <w:snapToGrid w:val="0"/>
          <w:sz w:val="24"/>
          <w:szCs w:val="24"/>
        </w:rPr>
        <w:t xml:space="preserve">Committee’s </w:t>
      </w:r>
      <w:r w:rsidR="000D48D4">
        <w:rPr>
          <w:rFonts w:ascii="Times New Roman" w:eastAsia="Times New Roman" w:hAnsi="Times New Roman" w:cs="Times New Roman"/>
          <w:snapToGrid w:val="0"/>
          <w:sz w:val="24"/>
          <w:szCs w:val="24"/>
        </w:rPr>
        <w:t>R</w:t>
      </w:r>
      <w:r w:rsidR="005F1878">
        <w:rPr>
          <w:rFonts w:ascii="Times New Roman" w:eastAsia="Times New Roman" w:hAnsi="Times New Roman" w:cs="Times New Roman"/>
          <w:snapToGrid w:val="0"/>
          <w:sz w:val="24"/>
          <w:szCs w:val="24"/>
        </w:rPr>
        <w:t>eport</w:t>
      </w:r>
      <w:r w:rsidR="001C7006">
        <w:rPr>
          <w:rFonts w:ascii="Times New Roman" w:eastAsia="Times New Roman" w:hAnsi="Times New Roman" w:cs="Times New Roman"/>
          <w:snapToGrid w:val="0"/>
          <w:sz w:val="24"/>
          <w:szCs w:val="24"/>
        </w:rPr>
        <w:t xml:space="preserve"> – and herewith is one for this analysis</w:t>
      </w:r>
      <w:r w:rsidR="00A63AEC">
        <w:rPr>
          <w:rFonts w:ascii="Times New Roman" w:eastAsia="Times New Roman" w:hAnsi="Times New Roman" w:cs="Times New Roman"/>
          <w:snapToGrid w:val="0"/>
          <w:sz w:val="24"/>
          <w:szCs w:val="24"/>
        </w:rPr>
        <w:t xml:space="preserve"> of its contents</w:t>
      </w:r>
      <w:r w:rsidR="001C7006">
        <w:rPr>
          <w:rFonts w:ascii="Times New Roman" w:eastAsia="Times New Roman" w:hAnsi="Times New Roman" w:cs="Times New Roman"/>
          <w:snapToGrid w:val="0"/>
          <w:sz w:val="24"/>
          <w:szCs w:val="24"/>
        </w:rPr>
        <w:t>:</w:t>
      </w:r>
    </w:p>
    <w:p w14:paraId="372772E9" w14:textId="6CBEBED6" w:rsidR="00F159CA" w:rsidRDefault="00F159CA" w:rsidP="00AB7928">
      <w:pPr>
        <w:spacing w:after="0" w:line="240" w:lineRule="auto"/>
        <w:jc w:val="both"/>
        <w:rPr>
          <w:rFonts w:ascii="Times New Roman" w:eastAsia="Times New Roman" w:hAnsi="Times New Roman" w:cs="Times New Roman"/>
          <w:snapToGrid w:val="0"/>
          <w:sz w:val="24"/>
          <w:szCs w:val="24"/>
        </w:rPr>
      </w:pPr>
    </w:p>
    <w:p w14:paraId="6CAC1B50" w14:textId="21A0CAC5" w:rsidR="009D2E2B" w:rsidRDefault="009D2E2B" w:rsidP="00AB7928">
      <w:pPr>
        <w:spacing w:after="0" w:line="240" w:lineRule="auto"/>
        <w:jc w:val="both"/>
        <w:rPr>
          <w:rFonts w:ascii="Times New Roman" w:eastAsia="Times New Roman" w:hAnsi="Times New Roman" w:cs="Times New Roman"/>
          <w:snapToGrid w:val="0"/>
          <w:sz w:val="24"/>
          <w:szCs w:val="24"/>
        </w:rPr>
      </w:pPr>
    </w:p>
    <w:p w14:paraId="308FA10A" w14:textId="1121BC53" w:rsidR="009D2E2B" w:rsidRDefault="009D2E2B" w:rsidP="00AB7928">
      <w:pPr>
        <w:spacing w:after="0" w:line="240" w:lineRule="auto"/>
        <w:jc w:val="both"/>
        <w:rPr>
          <w:rFonts w:ascii="Times New Roman" w:eastAsia="Times New Roman" w:hAnsi="Times New Roman" w:cs="Times New Roman"/>
          <w:snapToGrid w:val="0"/>
          <w:sz w:val="24"/>
          <w:szCs w:val="24"/>
        </w:rPr>
      </w:pPr>
    </w:p>
    <w:p w14:paraId="56427EC3" w14:textId="5005EB09" w:rsidR="009D2E2B" w:rsidRDefault="009D2E2B" w:rsidP="00AB7928">
      <w:pPr>
        <w:spacing w:after="0" w:line="240" w:lineRule="auto"/>
        <w:jc w:val="both"/>
        <w:rPr>
          <w:rFonts w:ascii="Times New Roman" w:eastAsia="Times New Roman" w:hAnsi="Times New Roman" w:cs="Times New Roman"/>
          <w:snapToGrid w:val="0"/>
          <w:sz w:val="24"/>
          <w:szCs w:val="24"/>
        </w:rPr>
      </w:pPr>
    </w:p>
    <w:p w14:paraId="0E169D34" w14:textId="77777777" w:rsidR="009D2E2B" w:rsidRDefault="009D2E2B" w:rsidP="00AB7928">
      <w:pPr>
        <w:spacing w:after="0" w:line="240" w:lineRule="auto"/>
        <w:jc w:val="both"/>
        <w:rPr>
          <w:rFonts w:ascii="Times New Roman" w:eastAsia="Times New Roman" w:hAnsi="Times New Roman" w:cs="Times New Roman"/>
          <w:snapToGrid w:val="0"/>
          <w:sz w:val="24"/>
          <w:szCs w:val="24"/>
        </w:rPr>
      </w:pPr>
    </w:p>
    <w:p w14:paraId="267017F8" w14:textId="255C94C8" w:rsidR="009720B6" w:rsidRPr="009720B6" w:rsidRDefault="009720B6" w:rsidP="009720B6">
      <w:pPr>
        <w:spacing w:after="0" w:line="240" w:lineRule="auto"/>
        <w:jc w:val="center"/>
        <w:rPr>
          <w:rFonts w:ascii="Times New Roman" w:eastAsia="Times New Roman" w:hAnsi="Times New Roman" w:cs="Times New Roman"/>
          <w:b/>
          <w:snapToGrid w:val="0"/>
          <w:sz w:val="24"/>
          <w:szCs w:val="24"/>
          <w:u w:val="single"/>
        </w:rPr>
      </w:pPr>
      <w:r w:rsidRPr="009720B6">
        <w:rPr>
          <w:rFonts w:ascii="Times New Roman" w:eastAsia="Times New Roman" w:hAnsi="Times New Roman" w:cs="Times New Roman"/>
          <w:b/>
          <w:snapToGrid w:val="0"/>
          <w:sz w:val="24"/>
          <w:szCs w:val="24"/>
          <w:u w:val="single"/>
        </w:rPr>
        <w:lastRenderedPageBreak/>
        <w:t>TABLE OF CONTENTS</w:t>
      </w:r>
    </w:p>
    <w:p w14:paraId="7B6146D4" w14:textId="77777777" w:rsidR="009720B6" w:rsidRDefault="009720B6" w:rsidP="00AB7928">
      <w:pPr>
        <w:spacing w:after="0" w:line="240" w:lineRule="auto"/>
        <w:jc w:val="both"/>
        <w:rPr>
          <w:rFonts w:ascii="Times New Roman" w:eastAsia="Times New Roman" w:hAnsi="Times New Roman" w:cs="Times New Roman"/>
          <w:snapToGrid w:val="0"/>
          <w:sz w:val="24"/>
          <w:szCs w:val="24"/>
        </w:rPr>
      </w:pPr>
    </w:p>
    <w:p w14:paraId="3C0EA17E" w14:textId="1856249C" w:rsidR="001C7006" w:rsidRDefault="001C7006" w:rsidP="00AB7928">
      <w:pPr>
        <w:spacing w:after="0" w:line="240" w:lineRule="auto"/>
        <w:jc w:val="both"/>
        <w:rPr>
          <w:rFonts w:ascii="Times New Roman" w:eastAsia="Times New Roman" w:hAnsi="Times New Roman" w:cs="Times New Roman"/>
          <w:snapToGrid w:val="0"/>
          <w:sz w:val="24"/>
          <w:szCs w:val="24"/>
        </w:rPr>
      </w:pPr>
    </w:p>
    <w:p w14:paraId="3BC7333D" w14:textId="5F0528AD" w:rsidR="001C7006" w:rsidRDefault="001C7006"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“Members of the Committee on Legislative and Executive Compensation”</w:t>
      </w:r>
      <w:r w:rsidR="00E70FCB">
        <w:rPr>
          <w:rFonts w:ascii="Times New Roman" w:eastAsia="Times New Roman" w:hAnsi="Times New Roman" w:cs="Times New Roman"/>
          <w:snapToGrid w:val="0"/>
          <w:sz w:val="24"/>
          <w:szCs w:val="24"/>
        </w:rPr>
        <w:t xml:space="preserve"> ……………………. </w:t>
      </w:r>
      <w:r w:rsidR="009D2E2B">
        <w:rPr>
          <w:rFonts w:ascii="Times New Roman" w:eastAsia="Times New Roman" w:hAnsi="Times New Roman" w:cs="Times New Roman"/>
          <w:snapToGrid w:val="0"/>
          <w:sz w:val="24"/>
          <w:szCs w:val="24"/>
        </w:rPr>
        <w:t>3</w:t>
      </w:r>
    </w:p>
    <w:p w14:paraId="5EC281BA" w14:textId="66F79BE1" w:rsidR="00430207" w:rsidRDefault="00430207" w:rsidP="00AB7928">
      <w:pPr>
        <w:spacing w:after="0" w:line="240" w:lineRule="auto"/>
        <w:jc w:val="both"/>
        <w:rPr>
          <w:rFonts w:ascii="Times New Roman" w:eastAsia="Times New Roman" w:hAnsi="Times New Roman" w:cs="Times New Roman"/>
          <w:snapToGrid w:val="0"/>
          <w:sz w:val="24"/>
          <w:szCs w:val="24"/>
        </w:rPr>
      </w:pPr>
    </w:p>
    <w:p w14:paraId="1BD31275" w14:textId="297E906E" w:rsidR="00430207" w:rsidRPr="00430207" w:rsidRDefault="00430207" w:rsidP="00430207">
      <w:pPr>
        <w:spacing w:after="0" w:line="240" w:lineRule="auto"/>
        <w:rPr>
          <w:rFonts w:ascii="Times New Roman" w:eastAsia="Times New Roman" w:hAnsi="Times New Roman" w:cs="Times New Roman"/>
          <w:snapToGrid w:val="0"/>
          <w:sz w:val="24"/>
          <w:szCs w:val="24"/>
        </w:rPr>
      </w:pPr>
      <w:r w:rsidRPr="00430207">
        <w:rPr>
          <w:rFonts w:ascii="Times New Roman" w:eastAsia="Times New Roman" w:hAnsi="Times New Roman" w:cs="Times New Roman"/>
          <w:snapToGrid w:val="0"/>
          <w:sz w:val="24"/>
          <w:szCs w:val="24"/>
        </w:rPr>
        <w:t>“Summary of the</w:t>
      </w:r>
      <w:r w:rsidRPr="00430207">
        <w:rPr>
          <w:rFonts w:ascii="Times New Roman" w:eastAsia="Times New Roman" w:hAnsi="Times New Roman" w:cs="Times New Roman"/>
          <w:b/>
          <w:snapToGrid w:val="0"/>
          <w:sz w:val="24"/>
          <w:szCs w:val="24"/>
        </w:rPr>
        <w:t xml:space="preserve"> </w:t>
      </w:r>
      <w:r w:rsidRPr="00430207">
        <w:rPr>
          <w:rFonts w:ascii="Times New Roman" w:eastAsia="Times New Roman" w:hAnsi="Times New Roman" w:cs="Times New Roman"/>
          <w:snapToGrid w:val="0"/>
          <w:sz w:val="24"/>
          <w:szCs w:val="24"/>
        </w:rPr>
        <w:t>Committee’s Recommendations”</w:t>
      </w:r>
      <w:r w:rsidR="0082200E">
        <w:rPr>
          <w:rFonts w:ascii="Times New Roman" w:eastAsia="Times New Roman" w:hAnsi="Times New Roman" w:cs="Times New Roman"/>
          <w:snapToGrid w:val="0"/>
          <w:sz w:val="24"/>
          <w:szCs w:val="24"/>
        </w:rPr>
        <w:t>…………………………………………</w:t>
      </w:r>
      <w:r w:rsidR="009D2E2B">
        <w:rPr>
          <w:rFonts w:ascii="Times New Roman" w:eastAsia="Times New Roman" w:hAnsi="Times New Roman" w:cs="Times New Roman"/>
          <w:snapToGrid w:val="0"/>
          <w:sz w:val="24"/>
          <w:szCs w:val="24"/>
        </w:rPr>
        <w:t>……</w:t>
      </w:r>
      <w:r w:rsidR="00CF62F9">
        <w:rPr>
          <w:rFonts w:ascii="Times New Roman" w:eastAsia="Times New Roman" w:hAnsi="Times New Roman" w:cs="Times New Roman"/>
          <w:snapToGrid w:val="0"/>
          <w:sz w:val="24"/>
          <w:szCs w:val="24"/>
        </w:rPr>
        <w:t>5</w:t>
      </w:r>
      <w:r w:rsidRPr="00430207">
        <w:rPr>
          <w:rFonts w:ascii="Times New Roman" w:eastAsia="Times New Roman" w:hAnsi="Times New Roman" w:cs="Times New Roman"/>
          <w:snapToGrid w:val="0"/>
          <w:sz w:val="24"/>
          <w:szCs w:val="24"/>
        </w:rPr>
        <w:br/>
      </w:r>
    </w:p>
    <w:p w14:paraId="4DADD3C6" w14:textId="415D5AF5" w:rsidR="00430207" w:rsidRDefault="00430207" w:rsidP="009D2E2B">
      <w:pPr>
        <w:spacing w:after="0" w:line="480" w:lineRule="auto"/>
        <w:rPr>
          <w:rFonts w:ascii="Times New Roman" w:eastAsia="Times New Roman" w:hAnsi="Times New Roman" w:cs="Times New Roman"/>
          <w:snapToGrid w:val="0"/>
          <w:sz w:val="24"/>
          <w:szCs w:val="24"/>
        </w:rPr>
      </w:pPr>
      <w:r w:rsidRPr="00430207">
        <w:rPr>
          <w:rFonts w:ascii="Times New Roman" w:eastAsia="Times New Roman" w:hAnsi="Times New Roman" w:cs="Times New Roman"/>
          <w:snapToGrid w:val="0"/>
          <w:sz w:val="24"/>
          <w:szCs w:val="24"/>
        </w:rPr>
        <w:t>“Statutory Mandate”</w:t>
      </w:r>
      <w:r w:rsidR="009D2E2B">
        <w:rPr>
          <w:rFonts w:ascii="Times New Roman" w:eastAsia="Times New Roman" w:hAnsi="Times New Roman" w:cs="Times New Roman"/>
          <w:snapToGrid w:val="0"/>
          <w:sz w:val="24"/>
          <w:szCs w:val="24"/>
        </w:rPr>
        <w:t xml:space="preserve">……………………………………………………………………………... </w:t>
      </w:r>
      <w:r w:rsidR="00CF62F9">
        <w:rPr>
          <w:rFonts w:ascii="Times New Roman" w:eastAsia="Times New Roman" w:hAnsi="Times New Roman" w:cs="Times New Roman"/>
          <w:snapToGrid w:val="0"/>
          <w:sz w:val="24"/>
          <w:szCs w:val="24"/>
        </w:rPr>
        <w:t>5</w:t>
      </w:r>
    </w:p>
    <w:p w14:paraId="4062C128" w14:textId="3E9B9D34" w:rsidR="00CD1A0A" w:rsidRDefault="00CD1A0A" w:rsidP="009D2E2B">
      <w:pPr>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“Findings and Determinations” …………………………………………………………………. 9</w:t>
      </w:r>
    </w:p>
    <w:p w14:paraId="72C38F42" w14:textId="4BD0C106" w:rsidR="00CD1A0A" w:rsidRDefault="00CD1A0A" w:rsidP="009D2E2B">
      <w:pPr>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“Recommendations”……………………………………………………</w:t>
      </w:r>
      <w:r w:rsidR="00906BD5">
        <w:rPr>
          <w:rFonts w:ascii="Times New Roman" w:eastAsia="Times New Roman" w:hAnsi="Times New Roman" w:cs="Times New Roman"/>
          <w:snapToGrid w:val="0"/>
          <w:sz w:val="24"/>
          <w:szCs w:val="24"/>
        </w:rPr>
        <w:t>………………………</w:t>
      </w:r>
      <w:r w:rsidR="00CF62F9">
        <w:rPr>
          <w:rFonts w:ascii="Times New Roman" w:eastAsia="Times New Roman" w:hAnsi="Times New Roman" w:cs="Times New Roman"/>
          <w:snapToGrid w:val="0"/>
          <w:sz w:val="24"/>
          <w:szCs w:val="24"/>
        </w:rPr>
        <w:t>. 22</w:t>
      </w:r>
    </w:p>
    <w:p w14:paraId="77AA7A4D" w14:textId="3E6F4F0E" w:rsidR="00CD1A0A" w:rsidRDefault="00CD1A0A" w:rsidP="009D2E2B">
      <w:pPr>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“Statement in Support” ………………………………………………………………………</w:t>
      </w:r>
      <w:r w:rsidR="00906BD5">
        <w:rPr>
          <w:rFonts w:ascii="Times New Roman" w:eastAsia="Times New Roman" w:hAnsi="Times New Roman" w:cs="Times New Roman"/>
          <w:snapToGrid w:val="0"/>
          <w:sz w:val="24"/>
          <w:szCs w:val="24"/>
        </w:rPr>
        <w:t>…</w:t>
      </w:r>
      <w:r w:rsidR="00CF62F9">
        <w:rPr>
          <w:rFonts w:ascii="Times New Roman" w:eastAsia="Times New Roman" w:hAnsi="Times New Roman" w:cs="Times New Roman"/>
          <w:snapToGrid w:val="0"/>
          <w:sz w:val="24"/>
          <w:szCs w:val="24"/>
        </w:rPr>
        <w:t>.23</w:t>
      </w:r>
      <w:r w:rsidR="00CF62F9">
        <w:rPr>
          <w:rFonts w:ascii="Times New Roman" w:eastAsia="Times New Roman" w:hAnsi="Times New Roman" w:cs="Times New Roman"/>
          <w:snapToGrid w:val="0"/>
          <w:sz w:val="24"/>
          <w:szCs w:val="24"/>
        </w:rPr>
        <w:br/>
        <w:t xml:space="preserve">         Recommendations on Stipends…………………………………………………………….23</w:t>
      </w:r>
    </w:p>
    <w:p w14:paraId="4F38AE9E" w14:textId="35761D8E" w:rsidR="00CF62F9" w:rsidRPr="00430207" w:rsidRDefault="00CF62F9" w:rsidP="009D2E2B">
      <w:pPr>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Recommendations on Outside Income…………………………………………………….25</w:t>
      </w:r>
    </w:p>
    <w:p w14:paraId="4423E260" w14:textId="77777777" w:rsidR="00430207" w:rsidRDefault="00430207" w:rsidP="00AB7928">
      <w:pPr>
        <w:spacing w:after="0" w:line="240" w:lineRule="auto"/>
        <w:jc w:val="both"/>
        <w:rPr>
          <w:rFonts w:ascii="Times New Roman" w:eastAsia="Times New Roman" w:hAnsi="Times New Roman" w:cs="Times New Roman"/>
          <w:snapToGrid w:val="0"/>
          <w:sz w:val="24"/>
          <w:szCs w:val="24"/>
        </w:rPr>
      </w:pPr>
      <w:bookmarkStart w:id="2" w:name="_GoBack"/>
      <w:bookmarkEnd w:id="2"/>
    </w:p>
    <w:p w14:paraId="08EC3D1D" w14:textId="10758D59" w:rsidR="001C7006" w:rsidRDefault="00A8788F"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p>
    <w:p w14:paraId="64A5901B" w14:textId="79238409" w:rsidR="001C7006" w:rsidRPr="00A8788F" w:rsidRDefault="00A8788F" w:rsidP="00A8788F">
      <w:pPr>
        <w:spacing w:after="0" w:line="240" w:lineRule="auto"/>
        <w:jc w:val="center"/>
        <w:rPr>
          <w:rFonts w:ascii="Times New Roman" w:eastAsia="Times New Roman" w:hAnsi="Times New Roman" w:cs="Times New Roman"/>
          <w:snapToGrid w:val="0"/>
          <w:sz w:val="24"/>
          <w:szCs w:val="24"/>
        </w:rPr>
      </w:pPr>
      <w:r w:rsidRPr="00A8788F">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  </w:t>
      </w:r>
      <w:r w:rsidRPr="00A8788F">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  </w:t>
      </w:r>
      <w:r w:rsidRPr="00A8788F">
        <w:rPr>
          <w:rFonts w:ascii="Times New Roman" w:eastAsia="Times New Roman" w:hAnsi="Times New Roman" w:cs="Times New Roman"/>
          <w:snapToGrid w:val="0"/>
          <w:sz w:val="24"/>
          <w:szCs w:val="24"/>
        </w:rPr>
        <w:t>*</w:t>
      </w:r>
    </w:p>
    <w:p w14:paraId="1916BC7E" w14:textId="77777777" w:rsidR="00F159CA" w:rsidRPr="00AB7928" w:rsidRDefault="00F159CA" w:rsidP="00AB7928">
      <w:pPr>
        <w:spacing w:after="0" w:line="240" w:lineRule="auto"/>
        <w:jc w:val="both"/>
        <w:rPr>
          <w:rFonts w:ascii="Times New Roman" w:eastAsia="Times New Roman" w:hAnsi="Times New Roman" w:cs="Times New Roman"/>
          <w:snapToGrid w:val="0"/>
          <w:sz w:val="24"/>
          <w:szCs w:val="24"/>
        </w:rPr>
      </w:pPr>
    </w:p>
    <w:p w14:paraId="14078EF3" w14:textId="1F9B95AA" w:rsidR="00A72B3E" w:rsidRDefault="00CF2600" w:rsidP="000D48D4">
      <w:pPr>
        <w:spacing w:after="0" w:line="240" w:lineRule="auto"/>
        <w:jc w:val="center"/>
        <w:rPr>
          <w:rFonts w:ascii="Times New Roman" w:eastAsia="Times New Roman" w:hAnsi="Times New Roman" w:cs="Times New Roman"/>
          <w:snapToGrid w:val="0"/>
          <w:sz w:val="24"/>
          <w:szCs w:val="24"/>
        </w:rPr>
      </w:pPr>
      <w:r w:rsidRPr="00AB7928">
        <w:rPr>
          <w:rFonts w:ascii="Times New Roman" w:eastAsia="Times New Roman" w:hAnsi="Times New Roman" w:cs="Times New Roman"/>
          <w:b/>
          <w:snapToGrid w:val="0"/>
          <w:sz w:val="24"/>
          <w:szCs w:val="24"/>
          <w:u w:val="single"/>
        </w:rPr>
        <w:t>“Members of the Committee on Legislative and Executive Compensation”</w:t>
      </w:r>
      <w:r w:rsidR="000D48D4">
        <w:rPr>
          <w:rFonts w:ascii="Times New Roman" w:eastAsia="Times New Roman" w:hAnsi="Times New Roman" w:cs="Times New Roman"/>
          <w:b/>
          <w:snapToGrid w:val="0"/>
          <w:sz w:val="24"/>
          <w:szCs w:val="24"/>
          <w:u w:val="single"/>
        </w:rPr>
        <w:br/>
      </w:r>
      <w:r w:rsidRPr="00AB7928">
        <w:rPr>
          <w:rFonts w:ascii="Times New Roman" w:eastAsia="Times New Roman" w:hAnsi="Times New Roman" w:cs="Times New Roman"/>
          <w:b/>
          <w:snapToGrid w:val="0"/>
          <w:sz w:val="24"/>
          <w:szCs w:val="24"/>
          <w:u w:val="single"/>
        </w:rPr>
        <w:t>(at pp. 3-4)</w:t>
      </w:r>
    </w:p>
    <w:p w14:paraId="05F42636" w14:textId="77777777" w:rsidR="00A72B3E" w:rsidRDefault="00A72B3E" w:rsidP="00A72B3E">
      <w:pPr>
        <w:spacing w:after="0" w:line="240" w:lineRule="auto"/>
        <w:ind w:firstLine="720"/>
        <w:jc w:val="both"/>
        <w:rPr>
          <w:rFonts w:ascii="Times New Roman" w:eastAsia="Times New Roman" w:hAnsi="Times New Roman" w:cs="Times New Roman"/>
          <w:snapToGrid w:val="0"/>
          <w:sz w:val="24"/>
          <w:szCs w:val="24"/>
        </w:rPr>
      </w:pPr>
    </w:p>
    <w:p w14:paraId="66168FDC" w14:textId="60DB2478" w:rsidR="00CF2600" w:rsidRDefault="00CF2600" w:rsidP="00A72B3E">
      <w:pPr>
        <w:spacing w:after="0" w:line="240" w:lineRule="auto"/>
        <w:jc w:val="both"/>
        <w:rPr>
          <w:rFonts w:ascii="Times New Roman" w:eastAsia="Times New Roman" w:hAnsi="Times New Roman" w:cs="Times New Roman"/>
          <w:snapToGrid w:val="0"/>
          <w:sz w:val="24"/>
          <w:szCs w:val="24"/>
        </w:rPr>
      </w:pPr>
      <w:r w:rsidRPr="00AB7928">
        <w:rPr>
          <w:rFonts w:ascii="Times New Roman" w:eastAsia="Times New Roman" w:hAnsi="Times New Roman" w:cs="Times New Roman"/>
          <w:snapToGrid w:val="0"/>
          <w:sz w:val="24"/>
          <w:szCs w:val="24"/>
        </w:rPr>
        <w:t xml:space="preserve">Here, as elsewhere in the </w:t>
      </w:r>
      <w:r w:rsidR="000D48D4">
        <w:rPr>
          <w:rFonts w:ascii="Times New Roman" w:eastAsia="Times New Roman" w:hAnsi="Times New Roman" w:cs="Times New Roman"/>
          <w:snapToGrid w:val="0"/>
          <w:sz w:val="24"/>
          <w:szCs w:val="24"/>
        </w:rPr>
        <w:t>R</w:t>
      </w:r>
      <w:r w:rsidRPr="00AB7928">
        <w:rPr>
          <w:rFonts w:ascii="Times New Roman" w:eastAsia="Times New Roman" w:hAnsi="Times New Roman" w:cs="Times New Roman"/>
          <w:snapToGrid w:val="0"/>
          <w:sz w:val="24"/>
          <w:szCs w:val="24"/>
        </w:rPr>
        <w:t xml:space="preserve">eport, there is no acknowledgment – even by a footnote – that “the chief judge of the state of New York” was designated </w:t>
      </w:r>
      <w:r w:rsidR="00730D97">
        <w:rPr>
          <w:rFonts w:ascii="Times New Roman" w:eastAsia="Times New Roman" w:hAnsi="Times New Roman" w:cs="Times New Roman"/>
          <w:snapToGrid w:val="0"/>
          <w:sz w:val="24"/>
          <w:szCs w:val="24"/>
        </w:rPr>
        <w:t xml:space="preserve">by the statute’s </w:t>
      </w:r>
      <w:r w:rsidR="00730D97" w:rsidRPr="00AB7928">
        <w:rPr>
          <w:rFonts w:ascii="Times New Roman" w:eastAsia="Calibri" w:hAnsi="Times New Roman" w:cs="Times New Roman"/>
          <w:bCs/>
          <w:color w:val="333333"/>
          <w:sz w:val="24"/>
          <w:szCs w:val="24"/>
          <w:shd w:val="clear" w:color="auto" w:fill="FFFFFF"/>
        </w:rPr>
        <w:t>§</w:t>
      </w:r>
      <w:r w:rsidR="00730D97" w:rsidRPr="00AB7928">
        <w:rPr>
          <w:rFonts w:ascii="Times New Roman" w:eastAsia="Times New Roman" w:hAnsi="Times New Roman" w:cs="Times New Roman"/>
          <w:snapToGrid w:val="0"/>
          <w:sz w:val="24"/>
          <w:szCs w:val="24"/>
        </w:rPr>
        <w:t>1</w:t>
      </w:r>
      <w:r w:rsidR="00730D97">
        <w:rPr>
          <w:rFonts w:ascii="Times New Roman" w:eastAsia="Times New Roman" w:hAnsi="Times New Roman" w:cs="Times New Roman"/>
          <w:snapToGrid w:val="0"/>
          <w:sz w:val="24"/>
          <w:szCs w:val="24"/>
        </w:rPr>
        <w:t xml:space="preserve"> to</w:t>
      </w:r>
      <w:r w:rsidR="00BA7186">
        <w:rPr>
          <w:rFonts w:ascii="Times New Roman" w:eastAsia="Times New Roman" w:hAnsi="Times New Roman" w:cs="Times New Roman"/>
          <w:snapToGrid w:val="0"/>
          <w:sz w:val="24"/>
          <w:szCs w:val="24"/>
        </w:rPr>
        <w:t xml:space="preserve"> be </w:t>
      </w:r>
      <w:r w:rsidRPr="00AB7928">
        <w:rPr>
          <w:rFonts w:ascii="Times New Roman" w:eastAsia="Times New Roman" w:hAnsi="Times New Roman" w:cs="Times New Roman"/>
          <w:snapToGrid w:val="0"/>
          <w:sz w:val="24"/>
          <w:szCs w:val="24"/>
        </w:rPr>
        <w:t xml:space="preserve">a </w:t>
      </w:r>
      <w:r w:rsidR="00BA7186">
        <w:rPr>
          <w:rFonts w:ascii="Times New Roman" w:eastAsia="Times New Roman" w:hAnsi="Times New Roman" w:cs="Times New Roman"/>
          <w:snapToGrid w:val="0"/>
          <w:sz w:val="24"/>
          <w:szCs w:val="24"/>
        </w:rPr>
        <w:t xml:space="preserve">Committee </w:t>
      </w:r>
      <w:r w:rsidRPr="00AB7928">
        <w:rPr>
          <w:rFonts w:ascii="Times New Roman" w:eastAsia="Times New Roman" w:hAnsi="Times New Roman" w:cs="Times New Roman"/>
          <w:snapToGrid w:val="0"/>
          <w:sz w:val="24"/>
          <w:szCs w:val="24"/>
        </w:rPr>
        <w:t xml:space="preserve">member, that </w:t>
      </w:r>
      <w:r w:rsidR="00E70FCB">
        <w:rPr>
          <w:rFonts w:ascii="Times New Roman" w:eastAsia="Times New Roman" w:hAnsi="Times New Roman" w:cs="Times New Roman"/>
          <w:snapToGrid w:val="0"/>
          <w:sz w:val="24"/>
          <w:szCs w:val="24"/>
        </w:rPr>
        <w:t xml:space="preserve">the chief judge, </w:t>
      </w:r>
      <w:r w:rsidR="00730D97">
        <w:rPr>
          <w:rFonts w:ascii="Times New Roman" w:eastAsia="Times New Roman" w:hAnsi="Times New Roman" w:cs="Times New Roman"/>
          <w:snapToGrid w:val="0"/>
          <w:sz w:val="24"/>
          <w:szCs w:val="24"/>
        </w:rPr>
        <w:t>Janet DiFiore</w:t>
      </w:r>
      <w:r w:rsidR="00E70FCB">
        <w:rPr>
          <w:rFonts w:ascii="Times New Roman" w:eastAsia="Times New Roman" w:hAnsi="Times New Roman" w:cs="Times New Roman"/>
          <w:snapToGrid w:val="0"/>
          <w:sz w:val="24"/>
          <w:szCs w:val="24"/>
        </w:rPr>
        <w:t>,</w:t>
      </w:r>
      <w:r w:rsidR="00730D97">
        <w:rPr>
          <w:rFonts w:ascii="Times New Roman" w:eastAsia="Times New Roman" w:hAnsi="Times New Roman" w:cs="Times New Roman"/>
          <w:snapToGrid w:val="0"/>
          <w:sz w:val="24"/>
          <w:szCs w:val="24"/>
        </w:rPr>
        <w:t xml:space="preserve"> </w:t>
      </w:r>
      <w:r w:rsidRPr="00AB7928">
        <w:rPr>
          <w:rFonts w:ascii="Times New Roman" w:eastAsia="Times New Roman" w:hAnsi="Times New Roman" w:cs="Times New Roman"/>
          <w:snapToGrid w:val="0"/>
          <w:sz w:val="24"/>
          <w:szCs w:val="24"/>
        </w:rPr>
        <w:t>recused herself, and the reason therefor.</w:t>
      </w:r>
      <w:r w:rsidR="001C7006">
        <w:rPr>
          <w:rFonts w:ascii="Times New Roman" w:eastAsia="Times New Roman" w:hAnsi="Times New Roman" w:cs="Times New Roman"/>
          <w:snapToGrid w:val="0"/>
          <w:sz w:val="24"/>
          <w:szCs w:val="24"/>
        </w:rPr>
        <w:t xml:space="preserve"> </w:t>
      </w:r>
    </w:p>
    <w:p w14:paraId="58A856B1" w14:textId="4D12A7CE" w:rsidR="001C7006" w:rsidRDefault="001C7006" w:rsidP="00AB7928">
      <w:pPr>
        <w:spacing w:after="0" w:line="240" w:lineRule="auto"/>
        <w:jc w:val="both"/>
        <w:rPr>
          <w:rFonts w:ascii="Times New Roman" w:eastAsia="Times New Roman" w:hAnsi="Times New Roman" w:cs="Times New Roman"/>
          <w:snapToGrid w:val="0"/>
          <w:sz w:val="24"/>
          <w:szCs w:val="24"/>
        </w:rPr>
      </w:pPr>
    </w:p>
    <w:p w14:paraId="75E52038" w14:textId="5B20C3E6" w:rsidR="001C7006" w:rsidRDefault="001C7006" w:rsidP="00AB7928">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Nor is there any acknowledgment that the other </w:t>
      </w:r>
      <w:r w:rsidR="00730D97">
        <w:rPr>
          <w:rFonts w:ascii="Times New Roman" w:eastAsia="Times New Roman" w:hAnsi="Times New Roman" w:cs="Times New Roman"/>
          <w:snapToGrid w:val="0"/>
          <w:sz w:val="24"/>
          <w:szCs w:val="24"/>
        </w:rPr>
        <w:t xml:space="preserve">four </w:t>
      </w:r>
      <w:r>
        <w:rPr>
          <w:rFonts w:ascii="Times New Roman" w:eastAsia="Times New Roman" w:hAnsi="Times New Roman" w:cs="Times New Roman"/>
          <w:snapToGrid w:val="0"/>
          <w:sz w:val="24"/>
          <w:szCs w:val="24"/>
        </w:rPr>
        <w:t xml:space="preserve">members, whose bios are presented alphabetically, were designated </w:t>
      </w:r>
      <w:r w:rsidR="00F6477B">
        <w:rPr>
          <w:rFonts w:ascii="Times New Roman" w:eastAsia="Times New Roman" w:hAnsi="Times New Roman" w:cs="Times New Roman"/>
          <w:snapToGrid w:val="0"/>
          <w:sz w:val="24"/>
          <w:szCs w:val="24"/>
        </w:rPr>
        <w:t xml:space="preserve">by the statute – or that the designation was not by their names, but by their government positions </w:t>
      </w:r>
      <w:r>
        <w:rPr>
          <w:rFonts w:ascii="Times New Roman" w:eastAsia="Times New Roman" w:hAnsi="Times New Roman" w:cs="Times New Roman"/>
          <w:snapToGrid w:val="0"/>
          <w:sz w:val="24"/>
          <w:szCs w:val="24"/>
        </w:rPr>
        <w:t>(</w:t>
      </w:r>
      <w:r w:rsidR="0069714E" w:rsidRPr="00AB7928">
        <w:rPr>
          <w:rFonts w:ascii="Times New Roman" w:eastAsia="Calibri" w:hAnsi="Times New Roman" w:cs="Times New Roman"/>
          <w:bCs/>
          <w:color w:val="333333"/>
          <w:sz w:val="24"/>
          <w:szCs w:val="24"/>
          <w:shd w:val="clear" w:color="auto" w:fill="FFFFFF"/>
        </w:rPr>
        <w:t>§</w:t>
      </w:r>
      <w:r w:rsidR="0069714E" w:rsidRPr="00AB7928">
        <w:rPr>
          <w:rFonts w:ascii="Times New Roman" w:eastAsia="Times New Roman" w:hAnsi="Times New Roman" w:cs="Times New Roman"/>
          <w:snapToGrid w:val="0"/>
          <w:sz w:val="24"/>
          <w:szCs w:val="24"/>
        </w:rPr>
        <w:t>1</w:t>
      </w:r>
      <w:r w:rsidR="0069714E">
        <w:rPr>
          <w:rFonts w:ascii="Times New Roman" w:eastAsia="Times New Roman" w:hAnsi="Times New Roman" w:cs="Times New Roman"/>
          <w:snapToGrid w:val="0"/>
          <w:sz w:val="24"/>
          <w:szCs w:val="24"/>
        </w:rPr>
        <w:t>)</w:t>
      </w:r>
      <w:r w:rsidR="00BA7186">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p>
    <w:p w14:paraId="34402EE8" w14:textId="77777777" w:rsidR="001C7006" w:rsidRDefault="001C7006" w:rsidP="00AB7928">
      <w:pPr>
        <w:spacing w:after="0" w:line="240" w:lineRule="auto"/>
        <w:jc w:val="both"/>
        <w:rPr>
          <w:rFonts w:ascii="Times New Roman" w:eastAsia="Times New Roman" w:hAnsi="Times New Roman" w:cs="Times New Roman"/>
          <w:snapToGrid w:val="0"/>
          <w:sz w:val="24"/>
          <w:szCs w:val="24"/>
        </w:rPr>
      </w:pPr>
    </w:p>
    <w:p w14:paraId="14B50567" w14:textId="377541BF" w:rsidR="003E3093" w:rsidRDefault="00BA7186"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Although the bios </w:t>
      </w:r>
      <w:r w:rsidR="00730D97">
        <w:rPr>
          <w:rFonts w:ascii="Times New Roman" w:eastAsia="Times New Roman" w:hAnsi="Times New Roman" w:cs="Times New Roman"/>
          <w:snapToGrid w:val="0"/>
          <w:sz w:val="24"/>
          <w:szCs w:val="24"/>
        </w:rPr>
        <w:t>of the four members reflect that they are all</w:t>
      </w:r>
      <w:r w:rsidR="003E3093">
        <w:rPr>
          <w:rFonts w:ascii="Times New Roman" w:eastAsia="Times New Roman" w:hAnsi="Times New Roman" w:cs="Times New Roman"/>
          <w:snapToGrid w:val="0"/>
          <w:sz w:val="24"/>
          <w:szCs w:val="24"/>
        </w:rPr>
        <w:t xml:space="preserve"> </w:t>
      </w:r>
      <w:r w:rsidR="006A20E3">
        <w:rPr>
          <w:rFonts w:ascii="Times New Roman" w:eastAsia="Times New Roman" w:hAnsi="Times New Roman" w:cs="Times New Roman"/>
          <w:snapToGrid w:val="0"/>
          <w:sz w:val="24"/>
          <w:szCs w:val="24"/>
        </w:rPr>
        <w:t xml:space="preserve">either current or prior comptrollers of New York State or New York City and that all four are </w:t>
      </w:r>
      <w:r w:rsidR="003E3093">
        <w:rPr>
          <w:rFonts w:ascii="Times New Roman" w:eastAsia="Times New Roman" w:hAnsi="Times New Roman" w:cs="Times New Roman"/>
          <w:snapToGrid w:val="0"/>
          <w:sz w:val="24"/>
          <w:szCs w:val="24"/>
        </w:rPr>
        <w:t>from the metropolitan New York City area</w:t>
      </w:r>
      <w:r w:rsidR="00E300CA">
        <w:rPr>
          <w:rFonts w:ascii="Times New Roman" w:eastAsia="Times New Roman" w:hAnsi="Times New Roman" w:cs="Times New Roman"/>
          <w:snapToGrid w:val="0"/>
          <w:sz w:val="24"/>
          <w:szCs w:val="24"/>
        </w:rPr>
        <w:t xml:space="preserve"> – in other words, th</w:t>
      </w:r>
      <w:r w:rsidR="004923B7">
        <w:rPr>
          <w:rFonts w:ascii="Times New Roman" w:eastAsia="Times New Roman" w:hAnsi="Times New Roman" w:cs="Times New Roman"/>
          <w:snapToGrid w:val="0"/>
          <w:sz w:val="24"/>
          <w:szCs w:val="24"/>
        </w:rPr>
        <w:t>at th</w:t>
      </w:r>
      <w:r w:rsidR="00E300CA">
        <w:rPr>
          <w:rFonts w:ascii="Times New Roman" w:eastAsia="Times New Roman" w:hAnsi="Times New Roman" w:cs="Times New Roman"/>
          <w:snapToGrid w:val="0"/>
          <w:sz w:val="24"/>
          <w:szCs w:val="24"/>
        </w:rPr>
        <w:t>ere is no occupational or regional diversity among them –</w:t>
      </w:r>
      <w:r w:rsidR="003E3093">
        <w:rPr>
          <w:rFonts w:ascii="Times New Roman" w:eastAsia="Times New Roman" w:hAnsi="Times New Roman" w:cs="Times New Roman"/>
          <w:snapToGrid w:val="0"/>
          <w:sz w:val="24"/>
          <w:szCs w:val="24"/>
        </w:rPr>
        <w:t xml:space="preserve"> </w:t>
      </w:r>
      <w:r w:rsidR="00F6477B">
        <w:rPr>
          <w:rFonts w:ascii="Times New Roman" w:eastAsia="Times New Roman" w:hAnsi="Times New Roman" w:cs="Times New Roman"/>
          <w:snapToGrid w:val="0"/>
          <w:sz w:val="24"/>
          <w:szCs w:val="24"/>
        </w:rPr>
        <w:t xml:space="preserve">no mention is made of </w:t>
      </w:r>
      <w:r w:rsidR="003E3093">
        <w:rPr>
          <w:rFonts w:ascii="Times New Roman" w:eastAsia="Times New Roman" w:hAnsi="Times New Roman" w:cs="Times New Roman"/>
          <w:snapToGrid w:val="0"/>
          <w:sz w:val="24"/>
          <w:szCs w:val="24"/>
        </w:rPr>
        <w:t>th</w:t>
      </w:r>
      <w:r>
        <w:rPr>
          <w:rFonts w:ascii="Times New Roman" w:eastAsia="Times New Roman" w:hAnsi="Times New Roman" w:cs="Times New Roman"/>
          <w:snapToGrid w:val="0"/>
          <w:sz w:val="24"/>
          <w:szCs w:val="24"/>
        </w:rPr>
        <w:t xml:space="preserve">eir </w:t>
      </w:r>
      <w:r w:rsidR="003E3093">
        <w:rPr>
          <w:rFonts w:ascii="Times New Roman" w:eastAsia="Times New Roman" w:hAnsi="Times New Roman" w:cs="Times New Roman"/>
          <w:snapToGrid w:val="0"/>
          <w:sz w:val="24"/>
          <w:szCs w:val="24"/>
        </w:rPr>
        <w:t>party affiliation</w:t>
      </w:r>
      <w:r>
        <w:rPr>
          <w:rFonts w:ascii="Times New Roman" w:eastAsia="Times New Roman" w:hAnsi="Times New Roman" w:cs="Times New Roman"/>
          <w:snapToGrid w:val="0"/>
          <w:sz w:val="24"/>
          <w:szCs w:val="24"/>
        </w:rPr>
        <w:t>s</w:t>
      </w:r>
      <w:r w:rsidR="00F6477B">
        <w:rPr>
          <w:rFonts w:ascii="Times New Roman" w:eastAsia="Times New Roman" w:hAnsi="Times New Roman" w:cs="Times New Roman"/>
          <w:snapToGrid w:val="0"/>
          <w:sz w:val="24"/>
          <w:szCs w:val="24"/>
        </w:rPr>
        <w:t xml:space="preserve">.  </w:t>
      </w:r>
      <w:r w:rsidR="003E3093">
        <w:rPr>
          <w:rFonts w:ascii="Times New Roman" w:eastAsia="Times New Roman" w:hAnsi="Times New Roman" w:cs="Times New Roman"/>
          <w:snapToGrid w:val="0"/>
          <w:sz w:val="24"/>
          <w:szCs w:val="24"/>
        </w:rPr>
        <w:t>All are Democrats.</w:t>
      </w:r>
    </w:p>
    <w:p w14:paraId="47057EAB" w14:textId="77777777" w:rsidR="003E3093" w:rsidRDefault="003E3093" w:rsidP="00895C57">
      <w:pPr>
        <w:spacing w:after="0" w:line="240" w:lineRule="auto"/>
        <w:jc w:val="both"/>
        <w:rPr>
          <w:rFonts w:ascii="Times New Roman" w:eastAsia="Times New Roman" w:hAnsi="Times New Roman" w:cs="Times New Roman"/>
          <w:snapToGrid w:val="0"/>
          <w:sz w:val="24"/>
          <w:szCs w:val="24"/>
        </w:rPr>
      </w:pPr>
    </w:p>
    <w:p w14:paraId="091D1C38" w14:textId="28680ECF" w:rsidR="00730D97" w:rsidRDefault="00730D97"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Also omitted – from </w:t>
      </w:r>
      <w:r w:rsidR="00BA7186">
        <w:rPr>
          <w:rFonts w:ascii="Times New Roman" w:eastAsia="Times New Roman" w:hAnsi="Times New Roman" w:cs="Times New Roman"/>
          <w:snapToGrid w:val="0"/>
          <w:sz w:val="24"/>
          <w:szCs w:val="24"/>
        </w:rPr>
        <w:t>t</w:t>
      </w:r>
      <w:r w:rsidR="003E3093">
        <w:rPr>
          <w:rFonts w:ascii="Times New Roman" w:eastAsia="Times New Roman" w:hAnsi="Times New Roman" w:cs="Times New Roman"/>
          <w:snapToGrid w:val="0"/>
          <w:sz w:val="24"/>
          <w:szCs w:val="24"/>
        </w:rPr>
        <w:t xml:space="preserve">he </w:t>
      </w:r>
      <w:r w:rsidR="0052574C">
        <w:rPr>
          <w:rFonts w:ascii="Times New Roman" w:eastAsia="Times New Roman" w:hAnsi="Times New Roman" w:cs="Times New Roman"/>
          <w:snapToGrid w:val="0"/>
          <w:sz w:val="24"/>
          <w:szCs w:val="24"/>
        </w:rPr>
        <w:t xml:space="preserve">bio of </w:t>
      </w:r>
      <w:r w:rsidR="00CF2600" w:rsidRPr="00F6477B">
        <w:rPr>
          <w:rFonts w:ascii="Times New Roman" w:eastAsia="Times New Roman" w:hAnsi="Times New Roman" w:cs="Times New Roman"/>
          <w:snapToGrid w:val="0"/>
          <w:sz w:val="24"/>
          <w:szCs w:val="24"/>
        </w:rPr>
        <w:t>William C. Thompson, Jr.</w:t>
      </w:r>
      <w:r w:rsidR="006A20E3">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 is </w:t>
      </w:r>
      <w:r w:rsidR="00F6477B">
        <w:rPr>
          <w:rFonts w:ascii="Times New Roman" w:eastAsia="Times New Roman" w:hAnsi="Times New Roman" w:cs="Times New Roman"/>
          <w:snapToGrid w:val="0"/>
          <w:sz w:val="24"/>
          <w:szCs w:val="24"/>
        </w:rPr>
        <w:t xml:space="preserve">that </w:t>
      </w:r>
      <w:r>
        <w:rPr>
          <w:rFonts w:ascii="Times New Roman" w:eastAsia="Times New Roman" w:hAnsi="Times New Roman" w:cs="Times New Roman"/>
          <w:snapToGrid w:val="0"/>
          <w:sz w:val="24"/>
          <w:szCs w:val="24"/>
        </w:rPr>
        <w:t>in 2011</w:t>
      </w:r>
      <w:r w:rsidR="00F6477B">
        <w:rPr>
          <w:rFonts w:ascii="Times New Roman" w:eastAsia="Times New Roman" w:hAnsi="Times New Roman" w:cs="Times New Roman"/>
          <w:snapToGrid w:val="0"/>
          <w:sz w:val="24"/>
          <w:szCs w:val="24"/>
        </w:rPr>
        <w:t xml:space="preserve"> </w:t>
      </w:r>
      <w:r w:rsidR="00D00ADA">
        <w:rPr>
          <w:rFonts w:ascii="Times New Roman" w:eastAsia="Times New Roman" w:hAnsi="Times New Roman" w:cs="Times New Roman"/>
          <w:snapToGrid w:val="0"/>
          <w:sz w:val="24"/>
          <w:szCs w:val="24"/>
        </w:rPr>
        <w:t xml:space="preserve">Governor Cuomo had appointed him </w:t>
      </w:r>
      <w:r>
        <w:rPr>
          <w:rFonts w:ascii="Times New Roman" w:eastAsia="Times New Roman" w:hAnsi="Times New Roman" w:cs="Times New Roman"/>
          <w:snapToGrid w:val="0"/>
          <w:sz w:val="24"/>
          <w:szCs w:val="24"/>
        </w:rPr>
        <w:t>to be member and chair of the Commission on Judicial Compensation</w:t>
      </w:r>
      <w:r w:rsidR="00F6477B">
        <w:rPr>
          <w:rFonts w:ascii="Times New Roman" w:eastAsia="Times New Roman" w:hAnsi="Times New Roman" w:cs="Times New Roman"/>
          <w:snapToGrid w:val="0"/>
          <w:sz w:val="24"/>
          <w:szCs w:val="24"/>
        </w:rPr>
        <w:t>, established by Chapter 567 of the Laws of 2010</w:t>
      </w:r>
      <w:r w:rsidR="008470D1">
        <w:rPr>
          <w:rFonts w:ascii="Times New Roman" w:eastAsia="Times New Roman" w:hAnsi="Times New Roman" w:cs="Times New Roman"/>
          <w:snapToGrid w:val="0"/>
          <w:sz w:val="24"/>
          <w:szCs w:val="24"/>
        </w:rPr>
        <w:t xml:space="preserve"> – materially identical to Part HHH of Chapter </w:t>
      </w:r>
      <w:r w:rsidR="00D00ADA">
        <w:rPr>
          <w:rFonts w:ascii="Times New Roman" w:eastAsia="Times New Roman" w:hAnsi="Times New Roman" w:cs="Times New Roman"/>
          <w:snapToGrid w:val="0"/>
          <w:sz w:val="24"/>
          <w:szCs w:val="24"/>
        </w:rPr>
        <w:t>5</w:t>
      </w:r>
      <w:r w:rsidR="008470D1">
        <w:rPr>
          <w:rFonts w:ascii="Times New Roman" w:eastAsia="Times New Roman" w:hAnsi="Times New Roman" w:cs="Times New Roman"/>
          <w:snapToGrid w:val="0"/>
          <w:sz w:val="24"/>
          <w:szCs w:val="24"/>
        </w:rPr>
        <w:t>9 of the Laws of 2018</w:t>
      </w:r>
      <w:r>
        <w:rPr>
          <w:rFonts w:ascii="Times New Roman" w:eastAsia="Times New Roman" w:hAnsi="Times New Roman" w:cs="Times New Roman"/>
          <w:snapToGrid w:val="0"/>
          <w:sz w:val="24"/>
          <w:szCs w:val="24"/>
        </w:rPr>
        <w:t xml:space="preserve">.  </w:t>
      </w:r>
      <w:r w:rsidR="00F6477B">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This is far more germane and relevant than </w:t>
      </w:r>
      <w:r w:rsidR="00054708">
        <w:rPr>
          <w:rFonts w:ascii="Times New Roman" w:eastAsia="Times New Roman" w:hAnsi="Times New Roman" w:cs="Times New Roman"/>
          <w:snapToGrid w:val="0"/>
          <w:sz w:val="24"/>
          <w:szCs w:val="24"/>
        </w:rPr>
        <w:t xml:space="preserve">any of the other </w:t>
      </w:r>
      <w:r w:rsidR="00B825D5">
        <w:rPr>
          <w:rFonts w:ascii="Times New Roman" w:eastAsia="Times New Roman" w:hAnsi="Times New Roman" w:cs="Times New Roman"/>
          <w:snapToGrid w:val="0"/>
          <w:sz w:val="24"/>
          <w:szCs w:val="24"/>
        </w:rPr>
        <w:t xml:space="preserve">gubernatorial </w:t>
      </w:r>
      <w:r w:rsidR="00054708">
        <w:rPr>
          <w:rFonts w:ascii="Times New Roman" w:eastAsia="Times New Roman" w:hAnsi="Times New Roman" w:cs="Times New Roman"/>
          <w:snapToGrid w:val="0"/>
          <w:sz w:val="24"/>
          <w:szCs w:val="24"/>
        </w:rPr>
        <w:t xml:space="preserve">appointments </w:t>
      </w:r>
      <w:r w:rsidR="00F6477B">
        <w:rPr>
          <w:rFonts w:ascii="Times New Roman" w:eastAsia="Times New Roman" w:hAnsi="Times New Roman" w:cs="Times New Roman"/>
          <w:snapToGrid w:val="0"/>
          <w:sz w:val="24"/>
          <w:szCs w:val="24"/>
        </w:rPr>
        <w:t xml:space="preserve">recited by Mr. Thompson’s </w:t>
      </w:r>
      <w:r w:rsidR="00054708">
        <w:rPr>
          <w:rFonts w:ascii="Times New Roman" w:eastAsia="Times New Roman" w:hAnsi="Times New Roman" w:cs="Times New Roman"/>
          <w:snapToGrid w:val="0"/>
          <w:sz w:val="24"/>
          <w:szCs w:val="24"/>
        </w:rPr>
        <w:t xml:space="preserve">bio:  </w:t>
      </w:r>
      <w:r>
        <w:rPr>
          <w:rFonts w:ascii="Times New Roman" w:eastAsia="Times New Roman" w:hAnsi="Times New Roman" w:cs="Times New Roman"/>
          <w:snapToGrid w:val="0"/>
          <w:sz w:val="24"/>
          <w:szCs w:val="24"/>
        </w:rPr>
        <w:t>three other</w:t>
      </w:r>
      <w:r w:rsidR="00054708">
        <w:rPr>
          <w:rFonts w:ascii="Times New Roman" w:eastAsia="Times New Roman" w:hAnsi="Times New Roman" w:cs="Times New Roman"/>
          <w:snapToGrid w:val="0"/>
          <w:sz w:val="24"/>
          <w:szCs w:val="24"/>
        </w:rPr>
        <w:t>s</w:t>
      </w:r>
      <w:r>
        <w:rPr>
          <w:rFonts w:ascii="Times New Roman" w:eastAsia="Times New Roman" w:hAnsi="Times New Roman" w:cs="Times New Roman"/>
          <w:snapToGrid w:val="0"/>
          <w:sz w:val="24"/>
          <w:szCs w:val="24"/>
        </w:rPr>
        <w:t xml:space="preserve"> by Governor Cuomo, in 2016, 2015, and 2011 </w:t>
      </w:r>
      <w:r w:rsidR="00054708">
        <w:rPr>
          <w:rFonts w:ascii="Times New Roman" w:eastAsia="Times New Roman" w:hAnsi="Times New Roman" w:cs="Times New Roman"/>
          <w:snapToGrid w:val="0"/>
          <w:sz w:val="24"/>
          <w:szCs w:val="24"/>
        </w:rPr>
        <w:t>and</w:t>
      </w:r>
      <w:r w:rsidR="00D00ADA">
        <w:rPr>
          <w:rFonts w:ascii="Times New Roman" w:eastAsia="Times New Roman" w:hAnsi="Times New Roman" w:cs="Times New Roman"/>
          <w:snapToGrid w:val="0"/>
          <w:sz w:val="24"/>
          <w:szCs w:val="24"/>
        </w:rPr>
        <w:t>,</w:t>
      </w:r>
      <w:r w:rsidR="00054708">
        <w:rPr>
          <w:rFonts w:ascii="Times New Roman" w:eastAsia="Times New Roman" w:hAnsi="Times New Roman" w:cs="Times New Roman"/>
          <w:snapToGrid w:val="0"/>
          <w:sz w:val="24"/>
          <w:szCs w:val="24"/>
        </w:rPr>
        <w:t xml:space="preserve"> </w:t>
      </w:r>
      <w:r w:rsidR="00D00ADA">
        <w:rPr>
          <w:rFonts w:ascii="Times New Roman" w:eastAsia="Times New Roman" w:hAnsi="Times New Roman" w:cs="Times New Roman"/>
          <w:snapToGrid w:val="0"/>
          <w:sz w:val="24"/>
          <w:szCs w:val="24"/>
        </w:rPr>
        <w:t>in</w:t>
      </w:r>
      <w:r w:rsidR="0005470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2010</w:t>
      </w:r>
      <w:r w:rsidR="00C85313">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appointment </w:t>
      </w:r>
      <w:r w:rsidR="00054708">
        <w:rPr>
          <w:rFonts w:ascii="Times New Roman" w:eastAsia="Times New Roman" w:hAnsi="Times New Roman" w:cs="Times New Roman"/>
          <w:snapToGrid w:val="0"/>
          <w:sz w:val="24"/>
          <w:szCs w:val="24"/>
        </w:rPr>
        <w:t>by</w:t>
      </w:r>
      <w:r>
        <w:rPr>
          <w:rFonts w:ascii="Times New Roman" w:eastAsia="Times New Roman" w:hAnsi="Times New Roman" w:cs="Times New Roman"/>
          <w:snapToGrid w:val="0"/>
          <w:sz w:val="24"/>
          <w:szCs w:val="24"/>
        </w:rPr>
        <w:t xml:space="preserve"> former Governor </w:t>
      </w:r>
      <w:r w:rsidR="00430207">
        <w:rPr>
          <w:rFonts w:ascii="Times New Roman" w:eastAsia="Times New Roman" w:hAnsi="Times New Roman" w:cs="Times New Roman"/>
          <w:snapToGrid w:val="0"/>
          <w:sz w:val="24"/>
          <w:szCs w:val="24"/>
        </w:rPr>
        <w:t xml:space="preserve">David </w:t>
      </w:r>
      <w:r>
        <w:rPr>
          <w:rFonts w:ascii="Times New Roman" w:eastAsia="Times New Roman" w:hAnsi="Times New Roman" w:cs="Times New Roman"/>
          <w:snapToGrid w:val="0"/>
          <w:sz w:val="24"/>
          <w:szCs w:val="24"/>
        </w:rPr>
        <w:t>Paterson.</w:t>
      </w:r>
    </w:p>
    <w:p w14:paraId="1FEB7CC0" w14:textId="77777777" w:rsidR="00730D97" w:rsidRDefault="00730D97" w:rsidP="00895C57">
      <w:pPr>
        <w:spacing w:after="0" w:line="240" w:lineRule="auto"/>
        <w:jc w:val="both"/>
        <w:rPr>
          <w:rFonts w:ascii="Times New Roman" w:eastAsia="Times New Roman" w:hAnsi="Times New Roman" w:cs="Times New Roman"/>
          <w:snapToGrid w:val="0"/>
          <w:sz w:val="24"/>
          <w:szCs w:val="24"/>
        </w:rPr>
      </w:pPr>
    </w:p>
    <w:p w14:paraId="45A50552" w14:textId="20AFCD30" w:rsidR="00584A1C" w:rsidRDefault="0069714E"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The only </w:t>
      </w:r>
      <w:r w:rsidR="00CC6A1B">
        <w:rPr>
          <w:rFonts w:ascii="Times New Roman" w:eastAsia="Times New Roman" w:hAnsi="Times New Roman" w:cs="Times New Roman"/>
          <w:snapToGrid w:val="0"/>
          <w:sz w:val="24"/>
          <w:szCs w:val="24"/>
        </w:rPr>
        <w:t>explanation</w:t>
      </w:r>
      <w:r>
        <w:rPr>
          <w:rFonts w:ascii="Times New Roman" w:eastAsia="Times New Roman" w:hAnsi="Times New Roman" w:cs="Times New Roman"/>
          <w:snapToGrid w:val="0"/>
          <w:sz w:val="24"/>
          <w:szCs w:val="24"/>
        </w:rPr>
        <w:t xml:space="preserve"> </w:t>
      </w:r>
      <w:r w:rsidR="00F50325">
        <w:rPr>
          <w:rFonts w:ascii="Times New Roman" w:eastAsia="Times New Roman" w:hAnsi="Times New Roman" w:cs="Times New Roman"/>
          <w:snapToGrid w:val="0"/>
          <w:sz w:val="24"/>
          <w:szCs w:val="24"/>
        </w:rPr>
        <w:t xml:space="preserve">for </w:t>
      </w:r>
      <w:r w:rsidR="00FD097A">
        <w:rPr>
          <w:rFonts w:ascii="Times New Roman" w:eastAsia="Times New Roman" w:hAnsi="Times New Roman" w:cs="Times New Roman"/>
          <w:snapToGrid w:val="0"/>
          <w:sz w:val="24"/>
          <w:szCs w:val="24"/>
        </w:rPr>
        <w:t>this</w:t>
      </w:r>
      <w:r w:rsidR="00F6477B">
        <w:rPr>
          <w:rFonts w:ascii="Times New Roman" w:eastAsia="Times New Roman" w:hAnsi="Times New Roman" w:cs="Times New Roman"/>
          <w:snapToGrid w:val="0"/>
          <w:sz w:val="24"/>
          <w:szCs w:val="24"/>
        </w:rPr>
        <w:t xml:space="preserve"> omission is t</w:t>
      </w:r>
      <w:r w:rsidR="00CC6A1B">
        <w:rPr>
          <w:rFonts w:ascii="Times New Roman" w:eastAsia="Times New Roman" w:hAnsi="Times New Roman" w:cs="Times New Roman"/>
          <w:snapToGrid w:val="0"/>
          <w:sz w:val="24"/>
          <w:szCs w:val="24"/>
        </w:rPr>
        <w:t xml:space="preserve">o conceal </w:t>
      </w:r>
      <w:r w:rsidR="00F6477B">
        <w:rPr>
          <w:rFonts w:ascii="Times New Roman" w:eastAsia="Times New Roman" w:hAnsi="Times New Roman" w:cs="Times New Roman"/>
          <w:snapToGrid w:val="0"/>
          <w:sz w:val="24"/>
          <w:szCs w:val="24"/>
        </w:rPr>
        <w:t>Mr. Thompson’s</w:t>
      </w:r>
      <w:r w:rsidR="00CC6A1B">
        <w:rPr>
          <w:rFonts w:ascii="Times New Roman" w:eastAsia="Times New Roman" w:hAnsi="Times New Roman" w:cs="Times New Roman"/>
          <w:snapToGrid w:val="0"/>
          <w:sz w:val="24"/>
          <w:szCs w:val="24"/>
        </w:rPr>
        <w:t xml:space="preserve"> disqualification as a member of the Compensation Committee</w:t>
      </w:r>
      <w:r w:rsidR="00F6477B">
        <w:rPr>
          <w:rFonts w:ascii="Times New Roman" w:eastAsia="Times New Roman" w:hAnsi="Times New Roman" w:cs="Times New Roman"/>
          <w:snapToGrid w:val="0"/>
          <w:sz w:val="24"/>
          <w:szCs w:val="24"/>
        </w:rPr>
        <w:t xml:space="preserve"> based on what he had done as </w:t>
      </w:r>
      <w:r w:rsidR="00584A1C">
        <w:rPr>
          <w:rFonts w:ascii="Times New Roman" w:eastAsia="Times New Roman" w:hAnsi="Times New Roman" w:cs="Times New Roman"/>
          <w:snapToGrid w:val="0"/>
          <w:sz w:val="24"/>
          <w:szCs w:val="24"/>
        </w:rPr>
        <w:t>chair of the Commission on Judicial Compensation</w:t>
      </w:r>
      <w:r w:rsidR="00F6477B">
        <w:rPr>
          <w:rFonts w:ascii="Times New Roman" w:eastAsia="Times New Roman" w:hAnsi="Times New Roman" w:cs="Times New Roman"/>
          <w:snapToGrid w:val="0"/>
          <w:sz w:val="24"/>
          <w:szCs w:val="24"/>
        </w:rPr>
        <w:t xml:space="preserve">.  </w:t>
      </w:r>
    </w:p>
    <w:p w14:paraId="6AAF6DB2" w14:textId="77777777" w:rsidR="00584A1C" w:rsidRDefault="00584A1C" w:rsidP="00895C57">
      <w:pPr>
        <w:spacing w:after="0" w:line="240" w:lineRule="auto"/>
        <w:jc w:val="both"/>
        <w:rPr>
          <w:rFonts w:ascii="Times New Roman" w:eastAsia="Times New Roman" w:hAnsi="Times New Roman" w:cs="Times New Roman"/>
          <w:snapToGrid w:val="0"/>
          <w:sz w:val="24"/>
          <w:szCs w:val="24"/>
        </w:rPr>
      </w:pPr>
    </w:p>
    <w:p w14:paraId="7C651F98" w14:textId="31B75681" w:rsidR="00F6477B" w:rsidRPr="00A53D03" w:rsidRDefault="00F6477B" w:rsidP="00895C57">
      <w:pPr>
        <w:spacing w:after="0" w:line="240" w:lineRule="auto"/>
        <w:jc w:val="both"/>
        <w:rPr>
          <w:rFonts w:ascii="Times New Roman" w:eastAsia="Times New Roman" w:hAnsi="Times New Roman" w:cs="Times New Roman"/>
          <w:snapToGrid w:val="0"/>
          <w:sz w:val="24"/>
          <w:szCs w:val="24"/>
        </w:rPr>
      </w:pPr>
      <w:r w:rsidRPr="00A53D03">
        <w:rPr>
          <w:rFonts w:ascii="Times New Roman" w:eastAsia="Times New Roman" w:hAnsi="Times New Roman" w:cs="Times New Roman"/>
          <w:snapToGrid w:val="0"/>
          <w:sz w:val="24"/>
          <w:szCs w:val="24"/>
        </w:rPr>
        <w:t>The issue of Mr. Thompson’s disqualification was raised by CJA director Sassower in her first communication to the Committee – her November 14, 2018 e-mail requesting to testify</w:t>
      </w:r>
      <w:r w:rsidR="00584A1C" w:rsidRPr="00A53D03">
        <w:rPr>
          <w:rFonts w:ascii="Times New Roman" w:eastAsia="Times New Roman" w:hAnsi="Times New Roman" w:cs="Times New Roman"/>
          <w:snapToGrid w:val="0"/>
          <w:sz w:val="24"/>
          <w:szCs w:val="24"/>
        </w:rPr>
        <w:t xml:space="preserve"> at its November 30, 2018 hearing, which had </w:t>
      </w:r>
      <w:r w:rsidR="00344EBB" w:rsidRPr="00A53D03">
        <w:rPr>
          <w:rFonts w:ascii="Times New Roman" w:eastAsia="Times New Roman" w:hAnsi="Times New Roman" w:cs="Times New Roman"/>
          <w:snapToGrid w:val="0"/>
          <w:sz w:val="24"/>
          <w:szCs w:val="24"/>
        </w:rPr>
        <w:t>read</w:t>
      </w:r>
      <w:r w:rsidR="00584A1C" w:rsidRPr="00A53D03">
        <w:rPr>
          <w:rFonts w:ascii="Times New Roman" w:eastAsia="Times New Roman" w:hAnsi="Times New Roman" w:cs="Times New Roman"/>
          <w:snapToGrid w:val="0"/>
          <w:sz w:val="24"/>
          <w:szCs w:val="24"/>
        </w:rPr>
        <w:t>:</w:t>
      </w:r>
    </w:p>
    <w:p w14:paraId="617E5A7E" w14:textId="77777777" w:rsidR="00344EBB" w:rsidRPr="00A53D03" w:rsidRDefault="00344EBB" w:rsidP="00895C57">
      <w:pPr>
        <w:spacing w:after="0" w:line="240" w:lineRule="auto"/>
        <w:jc w:val="both"/>
        <w:rPr>
          <w:rFonts w:ascii="Times New Roman" w:eastAsia="Times New Roman" w:hAnsi="Times New Roman" w:cs="Times New Roman"/>
          <w:snapToGrid w:val="0"/>
          <w:sz w:val="24"/>
          <w:szCs w:val="24"/>
        </w:rPr>
      </w:pPr>
    </w:p>
    <w:p w14:paraId="29CE46C6" w14:textId="051FA84A" w:rsidR="00344EBB" w:rsidRPr="00A53D03" w:rsidRDefault="00344EBB" w:rsidP="00344EBB">
      <w:pPr>
        <w:spacing w:after="0" w:line="240" w:lineRule="auto"/>
        <w:ind w:left="720" w:right="720"/>
        <w:jc w:val="both"/>
        <w:rPr>
          <w:rFonts w:ascii="Times New Roman" w:hAnsi="Times New Roman" w:cs="Times New Roman"/>
          <w:sz w:val="24"/>
          <w:szCs w:val="24"/>
        </w:rPr>
      </w:pPr>
      <w:r w:rsidRPr="00A53D03">
        <w:rPr>
          <w:rFonts w:ascii="Times New Roman" w:hAnsi="Times New Roman" w:cs="Times New Roman"/>
          <w:sz w:val="24"/>
          <w:szCs w:val="24"/>
        </w:rPr>
        <w:t xml:space="preserve">“Please reserve your maximum five minutes for my opposition testimony at the Friday, November 30, 2018 NYC hearing.    More to follow as to the unconstitutionality of the statute, </w:t>
      </w:r>
      <w:r w:rsidRPr="00A53D03">
        <w:rPr>
          <w:rFonts w:ascii="Times New Roman" w:hAnsi="Times New Roman" w:cs="Times New Roman"/>
          <w:i/>
          <w:iCs/>
          <w:sz w:val="24"/>
          <w:szCs w:val="24"/>
        </w:rPr>
        <w:t>as written</w:t>
      </w:r>
      <w:r w:rsidRPr="00A53D03">
        <w:rPr>
          <w:rFonts w:ascii="Times New Roman" w:hAnsi="Times New Roman" w:cs="Times New Roman"/>
          <w:sz w:val="24"/>
          <w:szCs w:val="24"/>
        </w:rPr>
        <w:t xml:space="preserve">, </w:t>
      </w:r>
      <w:r w:rsidRPr="00A53D03">
        <w:rPr>
          <w:rFonts w:ascii="Times New Roman" w:hAnsi="Times New Roman" w:cs="Times New Roman"/>
          <w:i/>
          <w:iCs/>
          <w:sz w:val="24"/>
          <w:szCs w:val="24"/>
        </w:rPr>
        <w:t>as applied</w:t>
      </w:r>
      <w:r w:rsidRPr="00A53D03">
        <w:rPr>
          <w:rFonts w:ascii="Times New Roman" w:hAnsi="Times New Roman" w:cs="Times New Roman"/>
          <w:sz w:val="24"/>
          <w:szCs w:val="24"/>
        </w:rPr>
        <w:t xml:space="preserve">, and by its enactment – as well as the absolute disqualification of two of the Committee’s members, William Thompson, Jr. and Thomas DiNapoli, as they themselves should recognize.  The Center for Judicial Accountability’s website, </w:t>
      </w:r>
      <w:hyperlink r:id="rId10" w:history="1">
        <w:r w:rsidRPr="00A53D03">
          <w:rPr>
            <w:rStyle w:val="Hyperlink"/>
            <w:rFonts w:ascii="Times New Roman" w:hAnsi="Times New Roman" w:cs="Times New Roman"/>
            <w:sz w:val="24"/>
            <w:szCs w:val="24"/>
          </w:rPr>
          <w:t>www.judgewatch.org</w:t>
        </w:r>
      </w:hyperlink>
      <w:r w:rsidRPr="00A53D03">
        <w:rPr>
          <w:rFonts w:ascii="Times New Roman" w:hAnsi="Times New Roman" w:cs="Times New Roman"/>
          <w:sz w:val="24"/>
          <w:szCs w:val="24"/>
        </w:rPr>
        <w:t xml:space="preserve">, has a webpage entitled </w:t>
      </w:r>
      <w:r w:rsidR="004923B7">
        <w:rPr>
          <w:rFonts w:ascii="Times New Roman" w:hAnsi="Times New Roman" w:cs="Times New Roman"/>
          <w:sz w:val="24"/>
          <w:szCs w:val="24"/>
        </w:rPr>
        <w:t>‘</w:t>
      </w:r>
      <w:r w:rsidRPr="00A53D03">
        <w:rPr>
          <w:rFonts w:ascii="Times New Roman" w:hAnsi="Times New Roman" w:cs="Times New Roman"/>
          <w:sz w:val="24"/>
          <w:szCs w:val="24"/>
        </w:rPr>
        <w:t>The Corrupt Commission Scheme to Raise Salaries of Corrupt Public Officers</w:t>
      </w:r>
      <w:r w:rsidR="004923B7">
        <w:rPr>
          <w:rFonts w:ascii="Times New Roman" w:hAnsi="Times New Roman" w:cs="Times New Roman"/>
          <w:sz w:val="24"/>
          <w:szCs w:val="24"/>
        </w:rPr>
        <w:t>’</w:t>
      </w:r>
      <w:r w:rsidRPr="00A53D03">
        <w:rPr>
          <w:rFonts w:ascii="Times New Roman" w:hAnsi="Times New Roman" w:cs="Times New Roman"/>
          <w:sz w:val="24"/>
          <w:szCs w:val="24"/>
        </w:rPr>
        <w:t xml:space="preserve">, from which everything is accessible.  Here’s the direct link: </w:t>
      </w:r>
      <w:hyperlink r:id="rId11" w:history="1">
        <w:r w:rsidRPr="00A53D03">
          <w:rPr>
            <w:rStyle w:val="Hyperlink"/>
            <w:rFonts w:ascii="Times New Roman" w:hAnsi="Times New Roman" w:cs="Times New Roman"/>
            <w:sz w:val="24"/>
            <w:szCs w:val="24"/>
          </w:rPr>
          <w:t>http://www.judgewatch.org/web-pages/judicial-compensation/menu-ny-judicial-compensation.htm</w:t>
        </w:r>
      </w:hyperlink>
      <w:r w:rsidRPr="00A53D03">
        <w:rPr>
          <w:rFonts w:ascii="Times New Roman" w:hAnsi="Times New Roman" w:cs="Times New Roman"/>
          <w:sz w:val="24"/>
          <w:szCs w:val="24"/>
        </w:rPr>
        <w:t>.</w:t>
      </w:r>
    </w:p>
    <w:p w14:paraId="1C1B0AFD" w14:textId="77777777" w:rsidR="00344EBB" w:rsidRPr="00A53D03" w:rsidRDefault="00344EBB" w:rsidP="00344EBB">
      <w:pPr>
        <w:spacing w:after="0" w:line="240" w:lineRule="auto"/>
        <w:ind w:left="720" w:right="720"/>
        <w:jc w:val="both"/>
        <w:rPr>
          <w:rFonts w:ascii="Times New Roman" w:hAnsi="Times New Roman" w:cs="Times New Roman"/>
          <w:sz w:val="24"/>
          <w:szCs w:val="24"/>
        </w:rPr>
      </w:pPr>
    </w:p>
    <w:p w14:paraId="0BAF591D" w14:textId="6148D4FB" w:rsidR="00344EBB" w:rsidRPr="00A53D03" w:rsidRDefault="00344EBB" w:rsidP="00847333">
      <w:pPr>
        <w:spacing w:after="0" w:line="240" w:lineRule="auto"/>
        <w:ind w:left="720" w:right="720"/>
        <w:jc w:val="both"/>
        <w:rPr>
          <w:rFonts w:ascii="Times New Roman" w:hAnsi="Times New Roman" w:cs="Times New Roman"/>
          <w:sz w:val="24"/>
          <w:szCs w:val="24"/>
        </w:rPr>
      </w:pPr>
      <w:r w:rsidRPr="00A53D03">
        <w:rPr>
          <w:rFonts w:ascii="Times New Roman" w:hAnsi="Times New Roman" w:cs="Times New Roman"/>
          <w:sz w:val="24"/>
          <w:szCs w:val="24"/>
        </w:rPr>
        <w:t>Thank you.”</w:t>
      </w:r>
    </w:p>
    <w:p w14:paraId="421F8391" w14:textId="77777777" w:rsidR="00847333" w:rsidRDefault="00847333" w:rsidP="00847333">
      <w:pPr>
        <w:spacing w:after="0" w:line="240" w:lineRule="auto"/>
        <w:ind w:left="720" w:right="720"/>
        <w:jc w:val="both"/>
      </w:pPr>
    </w:p>
    <w:p w14:paraId="351AC735" w14:textId="4E9B971F" w:rsidR="00413EFF" w:rsidRDefault="00344EBB"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cited webpage link</w:t>
      </w:r>
      <w:r w:rsidR="00847333">
        <w:rPr>
          <w:rFonts w:ascii="Times New Roman" w:eastAsia="Times New Roman" w:hAnsi="Times New Roman" w:cs="Times New Roman"/>
          <w:snapToGrid w:val="0"/>
          <w:sz w:val="24"/>
          <w:szCs w:val="24"/>
        </w:rPr>
        <w:t xml:space="preserve"> to CJA’s website</w:t>
      </w:r>
      <w:r>
        <w:rPr>
          <w:rFonts w:ascii="Times New Roman" w:eastAsia="Times New Roman" w:hAnsi="Times New Roman" w:cs="Times New Roman"/>
          <w:snapToGrid w:val="0"/>
          <w:sz w:val="24"/>
          <w:szCs w:val="24"/>
        </w:rPr>
        <w:t xml:space="preserve"> furnished all the primary-source evidence as to how the Commission on Judicial Compensation had operated under Chair Thompson, culminating in its </w:t>
      </w:r>
      <w:r w:rsidR="00FD58B7">
        <w:rPr>
          <w:rFonts w:ascii="Times New Roman" w:eastAsia="Times New Roman" w:hAnsi="Times New Roman" w:cs="Times New Roman"/>
          <w:snapToGrid w:val="0"/>
          <w:sz w:val="24"/>
          <w:szCs w:val="24"/>
        </w:rPr>
        <w:t>fraudulent, statutorily</w:t>
      </w:r>
      <w:r w:rsidR="00430207">
        <w:rPr>
          <w:rFonts w:ascii="Times New Roman" w:eastAsia="Times New Roman" w:hAnsi="Times New Roman" w:cs="Times New Roman"/>
          <w:snapToGrid w:val="0"/>
          <w:sz w:val="24"/>
          <w:szCs w:val="24"/>
        </w:rPr>
        <w:t>-</w:t>
      </w:r>
      <w:r w:rsidR="00FD58B7">
        <w:rPr>
          <w:rFonts w:ascii="Times New Roman" w:eastAsia="Times New Roman" w:hAnsi="Times New Roman" w:cs="Times New Roman"/>
          <w:snapToGrid w:val="0"/>
          <w:sz w:val="24"/>
          <w:szCs w:val="24"/>
        </w:rPr>
        <w:t xml:space="preserve">violative, and unconstitutional August 29, 2011 </w:t>
      </w:r>
      <w:r w:rsidR="00430207">
        <w:rPr>
          <w:rFonts w:ascii="Times New Roman" w:eastAsia="Times New Roman" w:hAnsi="Times New Roman" w:cs="Times New Roman"/>
          <w:snapToGrid w:val="0"/>
          <w:sz w:val="24"/>
          <w:szCs w:val="24"/>
        </w:rPr>
        <w:t>R</w:t>
      </w:r>
      <w:r w:rsidR="00FD58B7">
        <w:rPr>
          <w:rFonts w:ascii="Times New Roman" w:eastAsia="Times New Roman" w:hAnsi="Times New Roman" w:cs="Times New Roman"/>
          <w:snapToGrid w:val="0"/>
          <w:sz w:val="24"/>
          <w:szCs w:val="24"/>
        </w:rPr>
        <w:t xml:space="preserve">eport </w:t>
      </w:r>
      <w:r>
        <w:rPr>
          <w:rFonts w:ascii="Times New Roman" w:eastAsia="Times New Roman" w:hAnsi="Times New Roman" w:cs="Times New Roman"/>
          <w:snapToGrid w:val="0"/>
          <w:sz w:val="24"/>
          <w:szCs w:val="24"/>
        </w:rPr>
        <w:t>– so-demonstrated by CJA’s Oc</w:t>
      </w:r>
      <w:r w:rsidR="00FD58B7">
        <w:rPr>
          <w:rFonts w:ascii="Times New Roman" w:eastAsia="Times New Roman" w:hAnsi="Times New Roman" w:cs="Times New Roman"/>
          <w:snapToGrid w:val="0"/>
          <w:sz w:val="24"/>
          <w:szCs w:val="24"/>
        </w:rPr>
        <w:t xml:space="preserve">tober 27, 2011 </w:t>
      </w:r>
      <w:r>
        <w:rPr>
          <w:rFonts w:ascii="Times New Roman" w:eastAsia="Times New Roman" w:hAnsi="Times New Roman" w:cs="Times New Roman"/>
          <w:snapToGrid w:val="0"/>
          <w:sz w:val="24"/>
          <w:szCs w:val="24"/>
        </w:rPr>
        <w:t>O</w:t>
      </w:r>
      <w:r w:rsidR="00FD58B7">
        <w:rPr>
          <w:rFonts w:ascii="Times New Roman" w:eastAsia="Times New Roman" w:hAnsi="Times New Roman" w:cs="Times New Roman"/>
          <w:snapToGrid w:val="0"/>
          <w:sz w:val="24"/>
          <w:szCs w:val="24"/>
        </w:rPr>
        <w:t xml:space="preserve">pposition </w:t>
      </w:r>
      <w:r>
        <w:rPr>
          <w:rFonts w:ascii="Times New Roman" w:eastAsia="Times New Roman" w:hAnsi="Times New Roman" w:cs="Times New Roman"/>
          <w:snapToGrid w:val="0"/>
          <w:sz w:val="24"/>
          <w:szCs w:val="24"/>
        </w:rPr>
        <w:t>R</w:t>
      </w:r>
      <w:r w:rsidR="00FD58B7">
        <w:rPr>
          <w:rFonts w:ascii="Times New Roman" w:eastAsia="Times New Roman" w:hAnsi="Times New Roman" w:cs="Times New Roman"/>
          <w:snapToGrid w:val="0"/>
          <w:sz w:val="24"/>
          <w:szCs w:val="24"/>
        </w:rPr>
        <w:t>eport</w:t>
      </w:r>
      <w:r w:rsidR="00C85313">
        <w:rPr>
          <w:rFonts w:ascii="Times New Roman" w:eastAsia="Times New Roman" w:hAnsi="Times New Roman" w:cs="Times New Roman"/>
          <w:snapToGrid w:val="0"/>
          <w:sz w:val="24"/>
          <w:szCs w:val="24"/>
        </w:rPr>
        <w:t xml:space="preserve">, </w:t>
      </w:r>
      <w:r w:rsidR="008470D1">
        <w:rPr>
          <w:rFonts w:ascii="Times New Roman" w:eastAsia="Times New Roman" w:hAnsi="Times New Roman" w:cs="Times New Roman"/>
          <w:snapToGrid w:val="0"/>
          <w:sz w:val="24"/>
          <w:szCs w:val="24"/>
        </w:rPr>
        <w:t xml:space="preserve">addressed </w:t>
      </w:r>
      <w:r w:rsidR="00054708">
        <w:rPr>
          <w:rFonts w:ascii="Times New Roman" w:eastAsia="Times New Roman" w:hAnsi="Times New Roman" w:cs="Times New Roman"/>
          <w:snapToGrid w:val="0"/>
          <w:sz w:val="24"/>
          <w:szCs w:val="24"/>
        </w:rPr>
        <w:t>t</w:t>
      </w:r>
      <w:r w:rsidR="00E83DF5">
        <w:rPr>
          <w:rFonts w:ascii="Times New Roman" w:eastAsia="Times New Roman" w:hAnsi="Times New Roman" w:cs="Times New Roman"/>
          <w:snapToGrid w:val="0"/>
          <w:sz w:val="24"/>
          <w:szCs w:val="24"/>
        </w:rPr>
        <w:t xml:space="preserve">o </w:t>
      </w:r>
      <w:r w:rsidR="003243DB">
        <w:rPr>
          <w:rFonts w:ascii="Times New Roman" w:eastAsia="Times New Roman" w:hAnsi="Times New Roman" w:cs="Times New Roman"/>
          <w:snapToGrid w:val="0"/>
          <w:sz w:val="24"/>
          <w:szCs w:val="24"/>
        </w:rPr>
        <w:t xml:space="preserve">the </w:t>
      </w:r>
      <w:r w:rsidR="00413EFF">
        <w:rPr>
          <w:rFonts w:ascii="Times New Roman" w:eastAsia="Times New Roman" w:hAnsi="Times New Roman" w:cs="Times New Roman"/>
          <w:snapToGrid w:val="0"/>
          <w:sz w:val="24"/>
          <w:szCs w:val="24"/>
        </w:rPr>
        <w:t xml:space="preserve">four appointing authorities of </w:t>
      </w:r>
      <w:r w:rsidR="004923B7">
        <w:rPr>
          <w:rFonts w:ascii="Times New Roman" w:eastAsia="Times New Roman" w:hAnsi="Times New Roman" w:cs="Times New Roman"/>
          <w:snapToGrid w:val="0"/>
          <w:sz w:val="24"/>
          <w:szCs w:val="24"/>
        </w:rPr>
        <w:t>its</w:t>
      </w:r>
      <w:r w:rsidR="00413EFF">
        <w:rPr>
          <w:rFonts w:ascii="Times New Roman" w:eastAsia="Times New Roman" w:hAnsi="Times New Roman" w:cs="Times New Roman"/>
          <w:snapToGrid w:val="0"/>
          <w:sz w:val="24"/>
          <w:szCs w:val="24"/>
        </w:rPr>
        <w:t xml:space="preserve"> Commission</w:t>
      </w:r>
      <w:r w:rsidR="004923B7">
        <w:rPr>
          <w:rFonts w:ascii="Times New Roman" w:eastAsia="Times New Roman" w:hAnsi="Times New Roman" w:cs="Times New Roman"/>
          <w:snapToGrid w:val="0"/>
          <w:sz w:val="24"/>
          <w:szCs w:val="24"/>
        </w:rPr>
        <w:t xml:space="preserve"> members</w:t>
      </w:r>
      <w:r w:rsidR="00413EFF">
        <w:rPr>
          <w:rFonts w:ascii="Times New Roman" w:eastAsia="Times New Roman" w:hAnsi="Times New Roman" w:cs="Times New Roman"/>
          <w:snapToGrid w:val="0"/>
          <w:sz w:val="24"/>
          <w:szCs w:val="24"/>
        </w:rPr>
        <w:t xml:space="preserve"> – </w:t>
      </w:r>
      <w:r w:rsidR="0032678B">
        <w:rPr>
          <w:rFonts w:ascii="Times New Roman" w:eastAsia="Times New Roman" w:hAnsi="Times New Roman" w:cs="Times New Roman"/>
          <w:snapToGrid w:val="0"/>
          <w:sz w:val="24"/>
          <w:szCs w:val="24"/>
        </w:rPr>
        <w:t>Governor Cuomo, then</w:t>
      </w:r>
      <w:r w:rsidR="006A20E3">
        <w:rPr>
          <w:rFonts w:ascii="Times New Roman" w:eastAsia="Times New Roman" w:hAnsi="Times New Roman" w:cs="Times New Roman"/>
          <w:snapToGrid w:val="0"/>
          <w:sz w:val="24"/>
          <w:szCs w:val="24"/>
        </w:rPr>
        <w:t xml:space="preserve"> Temporary Senate President Dean Skelos, </w:t>
      </w:r>
      <w:r w:rsidR="0032678B">
        <w:rPr>
          <w:rFonts w:ascii="Times New Roman" w:eastAsia="Times New Roman" w:hAnsi="Times New Roman" w:cs="Times New Roman"/>
          <w:snapToGrid w:val="0"/>
          <w:sz w:val="24"/>
          <w:szCs w:val="24"/>
        </w:rPr>
        <w:t xml:space="preserve">then </w:t>
      </w:r>
      <w:r w:rsidR="006A20E3">
        <w:rPr>
          <w:rFonts w:ascii="Times New Roman" w:eastAsia="Times New Roman" w:hAnsi="Times New Roman" w:cs="Times New Roman"/>
          <w:snapToGrid w:val="0"/>
          <w:sz w:val="24"/>
          <w:szCs w:val="24"/>
        </w:rPr>
        <w:t>Assembly Speaker</w:t>
      </w:r>
      <w:r w:rsidR="00054708">
        <w:rPr>
          <w:rFonts w:ascii="Times New Roman" w:eastAsia="Times New Roman" w:hAnsi="Times New Roman" w:cs="Times New Roman"/>
          <w:snapToGrid w:val="0"/>
          <w:sz w:val="24"/>
          <w:szCs w:val="24"/>
        </w:rPr>
        <w:t xml:space="preserve"> Sheldon Silver</w:t>
      </w:r>
      <w:r w:rsidR="0032678B">
        <w:rPr>
          <w:rFonts w:ascii="Times New Roman" w:eastAsia="Times New Roman" w:hAnsi="Times New Roman" w:cs="Times New Roman"/>
          <w:snapToGrid w:val="0"/>
          <w:sz w:val="24"/>
          <w:szCs w:val="24"/>
        </w:rPr>
        <w:t xml:space="preserve">, </w:t>
      </w:r>
      <w:r w:rsidR="00413EFF">
        <w:rPr>
          <w:rFonts w:ascii="Times New Roman" w:eastAsia="Times New Roman" w:hAnsi="Times New Roman" w:cs="Times New Roman"/>
          <w:snapToGrid w:val="0"/>
          <w:sz w:val="24"/>
          <w:szCs w:val="24"/>
        </w:rPr>
        <w:t xml:space="preserve">and </w:t>
      </w:r>
      <w:r w:rsidR="0032678B">
        <w:rPr>
          <w:rFonts w:ascii="Times New Roman" w:eastAsia="Times New Roman" w:hAnsi="Times New Roman" w:cs="Times New Roman"/>
          <w:snapToGrid w:val="0"/>
          <w:sz w:val="24"/>
          <w:szCs w:val="24"/>
        </w:rPr>
        <w:t>then Chief</w:t>
      </w:r>
      <w:r w:rsidR="00054708">
        <w:rPr>
          <w:rFonts w:ascii="Times New Roman" w:eastAsia="Times New Roman" w:hAnsi="Times New Roman" w:cs="Times New Roman"/>
          <w:snapToGrid w:val="0"/>
          <w:sz w:val="24"/>
          <w:szCs w:val="24"/>
        </w:rPr>
        <w:t xml:space="preserve"> Judge Jonathan Lippman </w:t>
      </w:r>
      <w:r w:rsidR="00413EFF">
        <w:rPr>
          <w:rFonts w:ascii="Times New Roman" w:eastAsia="Times New Roman" w:hAnsi="Times New Roman" w:cs="Times New Roman"/>
          <w:snapToGrid w:val="0"/>
          <w:sz w:val="24"/>
          <w:szCs w:val="24"/>
        </w:rPr>
        <w:t xml:space="preserve">– </w:t>
      </w:r>
      <w:r w:rsidR="00D00ADA">
        <w:rPr>
          <w:rFonts w:ascii="Times New Roman" w:eastAsia="Times New Roman" w:hAnsi="Times New Roman" w:cs="Times New Roman"/>
          <w:snapToGrid w:val="0"/>
          <w:sz w:val="24"/>
          <w:szCs w:val="24"/>
        </w:rPr>
        <w:t xml:space="preserve">calling upon them to </w:t>
      </w:r>
      <w:r w:rsidR="00054708">
        <w:rPr>
          <w:rFonts w:ascii="Times New Roman" w:eastAsia="Times New Roman" w:hAnsi="Times New Roman" w:cs="Times New Roman"/>
          <w:snapToGrid w:val="0"/>
          <w:sz w:val="24"/>
          <w:szCs w:val="24"/>
        </w:rPr>
        <w:t>take corrective step</w:t>
      </w:r>
      <w:r w:rsidR="00F87C80">
        <w:rPr>
          <w:rFonts w:ascii="Times New Roman" w:eastAsia="Times New Roman" w:hAnsi="Times New Roman" w:cs="Times New Roman"/>
          <w:snapToGrid w:val="0"/>
          <w:sz w:val="24"/>
          <w:szCs w:val="24"/>
        </w:rPr>
        <w:t>s</w:t>
      </w:r>
      <w:r w:rsidR="004923B7">
        <w:rPr>
          <w:rFonts w:ascii="Times New Roman" w:eastAsia="Times New Roman" w:hAnsi="Times New Roman" w:cs="Times New Roman"/>
          <w:snapToGrid w:val="0"/>
          <w:sz w:val="24"/>
          <w:szCs w:val="24"/>
        </w:rPr>
        <w:t xml:space="preserve">, </w:t>
      </w:r>
      <w:r w:rsidR="00054708">
        <w:rPr>
          <w:rFonts w:ascii="Times New Roman" w:eastAsia="Times New Roman" w:hAnsi="Times New Roman" w:cs="Times New Roman"/>
          <w:snapToGrid w:val="0"/>
          <w:sz w:val="24"/>
          <w:szCs w:val="24"/>
        </w:rPr>
        <w:t xml:space="preserve">beginning with overriding </w:t>
      </w:r>
      <w:r w:rsidR="004923B7">
        <w:rPr>
          <w:rFonts w:ascii="Times New Roman" w:eastAsia="Times New Roman" w:hAnsi="Times New Roman" w:cs="Times New Roman"/>
          <w:snapToGrid w:val="0"/>
          <w:sz w:val="24"/>
          <w:szCs w:val="24"/>
        </w:rPr>
        <w:t>the Report’s</w:t>
      </w:r>
      <w:r>
        <w:rPr>
          <w:rFonts w:ascii="Times New Roman" w:eastAsia="Times New Roman" w:hAnsi="Times New Roman" w:cs="Times New Roman"/>
          <w:snapToGrid w:val="0"/>
          <w:sz w:val="24"/>
          <w:szCs w:val="24"/>
        </w:rPr>
        <w:t xml:space="preserve"> </w:t>
      </w:r>
      <w:r w:rsidR="00054708">
        <w:rPr>
          <w:rFonts w:ascii="Times New Roman" w:eastAsia="Times New Roman" w:hAnsi="Times New Roman" w:cs="Times New Roman"/>
          <w:snapToGrid w:val="0"/>
          <w:sz w:val="24"/>
          <w:szCs w:val="24"/>
        </w:rPr>
        <w:t>“force of law” judicial pay raise recommendations</w:t>
      </w:r>
      <w:r w:rsidR="00413EFF">
        <w:rPr>
          <w:rFonts w:ascii="Times New Roman" w:eastAsia="Times New Roman" w:hAnsi="Times New Roman" w:cs="Times New Roman"/>
          <w:snapToGrid w:val="0"/>
          <w:sz w:val="24"/>
          <w:szCs w:val="24"/>
        </w:rPr>
        <w:t>.</w:t>
      </w:r>
    </w:p>
    <w:p w14:paraId="6A725868" w14:textId="77777777" w:rsidR="00F87C80" w:rsidRDefault="00F87C80" w:rsidP="00895C57">
      <w:pPr>
        <w:spacing w:after="0" w:line="240" w:lineRule="auto"/>
        <w:jc w:val="both"/>
        <w:rPr>
          <w:rFonts w:ascii="Times New Roman" w:eastAsia="Times New Roman" w:hAnsi="Times New Roman" w:cs="Times New Roman"/>
          <w:snapToGrid w:val="0"/>
          <w:sz w:val="24"/>
          <w:szCs w:val="24"/>
        </w:rPr>
      </w:pPr>
    </w:p>
    <w:p w14:paraId="0B6F2C01" w14:textId="3AD72917" w:rsidR="000C5C81" w:rsidRDefault="00F87C80"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Their nonfeasance, in failing to respond</w:t>
      </w:r>
      <w:r w:rsidR="00FD097A">
        <w:rPr>
          <w:rFonts w:ascii="Times New Roman" w:eastAsia="Times New Roman" w:hAnsi="Times New Roman" w:cs="Times New Roman"/>
          <w:snapToGrid w:val="0"/>
          <w:sz w:val="24"/>
          <w:szCs w:val="24"/>
        </w:rPr>
        <w:t xml:space="preserve"> to ANY of the facts, law, and legal argument laid out by CJA’s October 27, 2011 Opposition Report</w:t>
      </w:r>
      <w:r w:rsidR="00413EFF">
        <w:rPr>
          <w:rFonts w:ascii="Times New Roman" w:eastAsia="Times New Roman" w:hAnsi="Times New Roman" w:cs="Times New Roman"/>
          <w:snapToGrid w:val="0"/>
          <w:sz w:val="24"/>
          <w:szCs w:val="24"/>
        </w:rPr>
        <w:t xml:space="preserve"> – as likewise the nonfeasance of then Attorney General Eric Schneiderman and Comptroller </w:t>
      </w:r>
      <w:r w:rsidR="004923B7">
        <w:rPr>
          <w:rFonts w:ascii="Times New Roman" w:eastAsia="Times New Roman" w:hAnsi="Times New Roman" w:cs="Times New Roman"/>
          <w:snapToGrid w:val="0"/>
          <w:sz w:val="24"/>
          <w:szCs w:val="24"/>
        </w:rPr>
        <w:t xml:space="preserve">Thomas </w:t>
      </w:r>
      <w:r w:rsidR="00413EFF">
        <w:rPr>
          <w:rFonts w:ascii="Times New Roman" w:eastAsia="Times New Roman" w:hAnsi="Times New Roman" w:cs="Times New Roman"/>
          <w:snapToGrid w:val="0"/>
          <w:sz w:val="24"/>
          <w:szCs w:val="24"/>
        </w:rPr>
        <w:t xml:space="preserve">DiNapoli, </w:t>
      </w:r>
      <w:r w:rsidR="00D00ADA">
        <w:rPr>
          <w:rFonts w:ascii="Times New Roman" w:eastAsia="Times New Roman" w:hAnsi="Times New Roman" w:cs="Times New Roman"/>
          <w:snapToGrid w:val="0"/>
          <w:sz w:val="24"/>
          <w:szCs w:val="24"/>
        </w:rPr>
        <w:t>with</w:t>
      </w:r>
      <w:r w:rsidR="00413EFF">
        <w:rPr>
          <w:rFonts w:ascii="Times New Roman" w:eastAsia="Times New Roman" w:hAnsi="Times New Roman" w:cs="Times New Roman"/>
          <w:snapToGrid w:val="0"/>
          <w:sz w:val="24"/>
          <w:szCs w:val="24"/>
        </w:rPr>
        <w:t xml:space="preserve"> whom CJA filed corruption</w:t>
      </w:r>
      <w:r w:rsidR="00D46DDB">
        <w:rPr>
          <w:rFonts w:ascii="Times New Roman" w:eastAsia="Times New Roman" w:hAnsi="Times New Roman" w:cs="Times New Roman"/>
          <w:snapToGrid w:val="0"/>
          <w:sz w:val="24"/>
          <w:szCs w:val="24"/>
        </w:rPr>
        <w:t>/fraud</w:t>
      </w:r>
      <w:r w:rsidR="00413EFF">
        <w:rPr>
          <w:rFonts w:ascii="Times New Roman" w:eastAsia="Times New Roman" w:hAnsi="Times New Roman" w:cs="Times New Roman"/>
          <w:snapToGrid w:val="0"/>
          <w:sz w:val="24"/>
          <w:szCs w:val="24"/>
        </w:rPr>
        <w:t xml:space="preserve"> complaints based on the October 27, 2011 Opposition Report, </w:t>
      </w:r>
      <w:r w:rsidR="00DE0A1B">
        <w:rPr>
          <w:rFonts w:ascii="Times New Roman" w:eastAsia="Times New Roman" w:hAnsi="Times New Roman" w:cs="Times New Roman"/>
          <w:snapToGrid w:val="0"/>
          <w:sz w:val="24"/>
          <w:szCs w:val="24"/>
        </w:rPr>
        <w:t xml:space="preserve">gave rise, in </w:t>
      </w:r>
      <w:r w:rsidR="00FD097A">
        <w:rPr>
          <w:rFonts w:ascii="Times New Roman" w:eastAsia="Times New Roman" w:hAnsi="Times New Roman" w:cs="Times New Roman"/>
          <w:snapToGrid w:val="0"/>
          <w:sz w:val="24"/>
          <w:szCs w:val="24"/>
        </w:rPr>
        <w:t xml:space="preserve">March </w:t>
      </w:r>
      <w:r w:rsidR="00DE0A1B">
        <w:rPr>
          <w:rFonts w:ascii="Times New Roman" w:eastAsia="Times New Roman" w:hAnsi="Times New Roman" w:cs="Times New Roman"/>
          <w:snapToGrid w:val="0"/>
          <w:sz w:val="24"/>
          <w:szCs w:val="24"/>
        </w:rPr>
        <w:t>2012, to CJA’s declaratory judgment action</w:t>
      </w:r>
      <w:r w:rsidR="00344EBB">
        <w:rPr>
          <w:rFonts w:ascii="Times New Roman" w:eastAsia="Times New Roman" w:hAnsi="Times New Roman" w:cs="Times New Roman"/>
          <w:snapToGrid w:val="0"/>
          <w:sz w:val="24"/>
          <w:szCs w:val="24"/>
        </w:rPr>
        <w:t xml:space="preserve"> against </w:t>
      </w:r>
      <w:r w:rsidR="00413EFF">
        <w:rPr>
          <w:rFonts w:ascii="Times New Roman" w:eastAsia="Times New Roman" w:hAnsi="Times New Roman" w:cs="Times New Roman"/>
          <w:snapToGrid w:val="0"/>
          <w:sz w:val="24"/>
          <w:szCs w:val="24"/>
        </w:rPr>
        <w:t xml:space="preserve">all of </w:t>
      </w:r>
      <w:r w:rsidR="00344EBB">
        <w:rPr>
          <w:rFonts w:ascii="Times New Roman" w:eastAsia="Times New Roman" w:hAnsi="Times New Roman" w:cs="Times New Roman"/>
          <w:snapToGrid w:val="0"/>
          <w:sz w:val="24"/>
          <w:szCs w:val="24"/>
        </w:rPr>
        <w:t>them</w:t>
      </w:r>
      <w:r w:rsidR="00413EFF">
        <w:rPr>
          <w:rFonts w:ascii="Times New Roman" w:eastAsia="Times New Roman" w:hAnsi="Times New Roman" w:cs="Times New Roman"/>
          <w:snapToGrid w:val="0"/>
          <w:sz w:val="24"/>
          <w:szCs w:val="24"/>
        </w:rPr>
        <w:t xml:space="preserve"> </w:t>
      </w:r>
      <w:r w:rsidR="00DE0A1B">
        <w:rPr>
          <w:rFonts w:ascii="Times New Roman" w:eastAsia="Times New Roman" w:hAnsi="Times New Roman" w:cs="Times New Roman"/>
          <w:snapToGrid w:val="0"/>
          <w:sz w:val="24"/>
          <w:szCs w:val="24"/>
        </w:rPr>
        <w:t>– and, thereafter</w:t>
      </w:r>
      <w:r>
        <w:rPr>
          <w:rFonts w:ascii="Times New Roman" w:eastAsia="Times New Roman" w:hAnsi="Times New Roman" w:cs="Times New Roman"/>
          <w:snapToGrid w:val="0"/>
          <w:sz w:val="24"/>
          <w:szCs w:val="24"/>
        </w:rPr>
        <w:t>,</w:t>
      </w:r>
      <w:r w:rsidR="0080753D">
        <w:rPr>
          <w:rFonts w:ascii="Times New Roman" w:eastAsia="Times New Roman" w:hAnsi="Times New Roman" w:cs="Times New Roman"/>
          <w:snapToGrid w:val="0"/>
          <w:sz w:val="24"/>
          <w:szCs w:val="24"/>
        </w:rPr>
        <w:t xml:space="preserve"> </w:t>
      </w:r>
      <w:r w:rsidR="00DE0A1B">
        <w:rPr>
          <w:rFonts w:ascii="Times New Roman" w:eastAsia="Times New Roman" w:hAnsi="Times New Roman" w:cs="Times New Roman"/>
          <w:snapToGrid w:val="0"/>
          <w:sz w:val="24"/>
          <w:szCs w:val="24"/>
        </w:rPr>
        <w:t xml:space="preserve">to CJA’s first </w:t>
      </w:r>
      <w:r>
        <w:rPr>
          <w:rFonts w:ascii="Times New Roman" w:eastAsia="Times New Roman" w:hAnsi="Times New Roman" w:cs="Times New Roman"/>
          <w:snapToGrid w:val="0"/>
          <w:sz w:val="24"/>
          <w:szCs w:val="24"/>
        </w:rPr>
        <w:t xml:space="preserve">and second </w:t>
      </w:r>
      <w:r w:rsidR="00DE0A1B">
        <w:rPr>
          <w:rFonts w:ascii="Times New Roman" w:eastAsia="Times New Roman" w:hAnsi="Times New Roman" w:cs="Times New Roman"/>
          <w:snapToGrid w:val="0"/>
          <w:sz w:val="24"/>
          <w:szCs w:val="24"/>
        </w:rPr>
        <w:t>citizen-taxpayer action</w:t>
      </w:r>
      <w:r>
        <w:rPr>
          <w:rFonts w:ascii="Times New Roman" w:eastAsia="Times New Roman" w:hAnsi="Times New Roman" w:cs="Times New Roman"/>
          <w:snapToGrid w:val="0"/>
          <w:sz w:val="24"/>
          <w:szCs w:val="24"/>
        </w:rPr>
        <w:t>s</w:t>
      </w:r>
      <w:r w:rsidR="00847333">
        <w:rPr>
          <w:rFonts w:ascii="Times New Roman" w:eastAsia="Times New Roman" w:hAnsi="Times New Roman" w:cs="Times New Roman"/>
          <w:snapToGrid w:val="0"/>
          <w:sz w:val="24"/>
          <w:szCs w:val="24"/>
        </w:rPr>
        <w:t>, additionally challenging the judiciary and legislative budgets and ultimately the whole of the executive budget</w:t>
      </w:r>
      <w:r w:rsidR="00FD097A">
        <w:rPr>
          <w:rFonts w:ascii="Times New Roman" w:eastAsia="Times New Roman" w:hAnsi="Times New Roman" w:cs="Times New Roman"/>
          <w:snapToGrid w:val="0"/>
          <w:sz w:val="24"/>
          <w:szCs w:val="24"/>
        </w:rPr>
        <w:t xml:space="preserve">.  This included </w:t>
      </w:r>
      <w:r w:rsidR="008470D1">
        <w:rPr>
          <w:rFonts w:ascii="Times New Roman" w:eastAsia="Times New Roman" w:hAnsi="Times New Roman" w:cs="Times New Roman"/>
          <w:snapToGrid w:val="0"/>
          <w:sz w:val="24"/>
          <w:szCs w:val="24"/>
        </w:rPr>
        <w:t xml:space="preserve">the budget statute – Chapter E, Part 60 of the Laws of 2015 that </w:t>
      </w:r>
      <w:r w:rsidR="00FD097A">
        <w:rPr>
          <w:rFonts w:ascii="Times New Roman" w:eastAsia="Times New Roman" w:hAnsi="Times New Roman" w:cs="Times New Roman"/>
          <w:snapToGrid w:val="0"/>
          <w:sz w:val="24"/>
          <w:szCs w:val="24"/>
        </w:rPr>
        <w:t xml:space="preserve">repealed and </w:t>
      </w:r>
      <w:r w:rsidR="008470D1">
        <w:rPr>
          <w:rFonts w:ascii="Times New Roman" w:eastAsia="Times New Roman" w:hAnsi="Times New Roman" w:cs="Times New Roman"/>
          <w:snapToGrid w:val="0"/>
          <w:sz w:val="24"/>
          <w:szCs w:val="24"/>
        </w:rPr>
        <w:t>replaced Chapter 567 of the Laws of 2010 with a Commission on Legislative, Judicial and Executive Compensation</w:t>
      </w:r>
      <w:r w:rsidR="00FD097A">
        <w:rPr>
          <w:rFonts w:ascii="Times New Roman" w:eastAsia="Times New Roman" w:hAnsi="Times New Roman" w:cs="Times New Roman"/>
          <w:snapToGrid w:val="0"/>
          <w:sz w:val="24"/>
          <w:szCs w:val="24"/>
        </w:rPr>
        <w:t xml:space="preserve">, whose December 24, 2015 report replicated the fraud, statutory violations, and </w:t>
      </w:r>
      <w:r w:rsidR="000C5C81">
        <w:rPr>
          <w:rFonts w:ascii="Times New Roman" w:eastAsia="Times New Roman" w:hAnsi="Times New Roman" w:cs="Times New Roman"/>
          <w:snapToGrid w:val="0"/>
          <w:sz w:val="24"/>
          <w:szCs w:val="24"/>
        </w:rPr>
        <w:t xml:space="preserve">unconstitutionality of the August 29, 2011 Report, on which it </w:t>
      </w:r>
      <w:r w:rsidR="00D00ADA">
        <w:rPr>
          <w:rFonts w:ascii="Times New Roman" w:eastAsia="Times New Roman" w:hAnsi="Times New Roman" w:cs="Times New Roman"/>
          <w:snapToGrid w:val="0"/>
          <w:sz w:val="24"/>
          <w:szCs w:val="24"/>
        </w:rPr>
        <w:t xml:space="preserve">materially </w:t>
      </w:r>
      <w:r w:rsidR="000C5C81">
        <w:rPr>
          <w:rFonts w:ascii="Times New Roman" w:eastAsia="Times New Roman" w:hAnsi="Times New Roman" w:cs="Times New Roman"/>
          <w:snapToGrid w:val="0"/>
          <w:sz w:val="24"/>
          <w:szCs w:val="24"/>
        </w:rPr>
        <w:t xml:space="preserve">relied </w:t>
      </w:r>
      <w:r w:rsidR="00413EFF">
        <w:rPr>
          <w:rFonts w:ascii="Times New Roman" w:eastAsia="Times New Roman" w:hAnsi="Times New Roman" w:cs="Times New Roman"/>
          <w:snapToGrid w:val="0"/>
          <w:sz w:val="24"/>
          <w:szCs w:val="24"/>
        </w:rPr>
        <w:t>in making further</w:t>
      </w:r>
      <w:r w:rsidR="000C5C81">
        <w:rPr>
          <w:rFonts w:ascii="Times New Roman" w:eastAsia="Times New Roman" w:hAnsi="Times New Roman" w:cs="Times New Roman"/>
          <w:snapToGrid w:val="0"/>
          <w:sz w:val="24"/>
          <w:szCs w:val="24"/>
        </w:rPr>
        <w:t xml:space="preserve"> “force of law” judicial pay raise recommendations.</w:t>
      </w:r>
    </w:p>
    <w:p w14:paraId="6B503610" w14:textId="7F36F46D" w:rsidR="00CF62F9" w:rsidRDefault="00CF62F9" w:rsidP="00895C57">
      <w:pPr>
        <w:spacing w:after="0" w:line="240" w:lineRule="auto"/>
        <w:jc w:val="both"/>
        <w:rPr>
          <w:rFonts w:ascii="Times New Roman" w:eastAsia="Times New Roman" w:hAnsi="Times New Roman" w:cs="Times New Roman"/>
          <w:snapToGrid w:val="0"/>
          <w:sz w:val="24"/>
          <w:szCs w:val="24"/>
        </w:rPr>
      </w:pPr>
    </w:p>
    <w:p w14:paraId="7A4BFA19" w14:textId="4FC67EB4" w:rsidR="00CF62F9" w:rsidRDefault="00CF62F9" w:rsidP="00895C57">
      <w:pPr>
        <w:spacing w:after="0" w:line="240" w:lineRule="auto"/>
        <w:jc w:val="both"/>
        <w:rPr>
          <w:rFonts w:ascii="Times New Roman" w:eastAsia="Times New Roman" w:hAnsi="Times New Roman" w:cs="Times New Roman"/>
          <w:snapToGrid w:val="0"/>
          <w:sz w:val="24"/>
          <w:szCs w:val="24"/>
        </w:rPr>
      </w:pPr>
    </w:p>
    <w:p w14:paraId="0CF78F58" w14:textId="1042CF2E" w:rsidR="00CF62F9" w:rsidRDefault="00CF62F9" w:rsidP="00895C57">
      <w:pPr>
        <w:spacing w:after="0" w:line="240" w:lineRule="auto"/>
        <w:jc w:val="both"/>
        <w:rPr>
          <w:rFonts w:ascii="Times New Roman" w:eastAsia="Times New Roman" w:hAnsi="Times New Roman" w:cs="Times New Roman"/>
          <w:snapToGrid w:val="0"/>
          <w:sz w:val="24"/>
          <w:szCs w:val="24"/>
        </w:rPr>
      </w:pPr>
    </w:p>
    <w:p w14:paraId="6E12D1A1" w14:textId="6300F6FC" w:rsidR="00CF62F9" w:rsidRDefault="00CF62F9" w:rsidP="00895C57">
      <w:pPr>
        <w:spacing w:after="0" w:line="240" w:lineRule="auto"/>
        <w:jc w:val="both"/>
        <w:rPr>
          <w:rFonts w:ascii="Times New Roman" w:eastAsia="Times New Roman" w:hAnsi="Times New Roman" w:cs="Times New Roman"/>
          <w:snapToGrid w:val="0"/>
          <w:sz w:val="24"/>
          <w:szCs w:val="24"/>
        </w:rPr>
      </w:pPr>
    </w:p>
    <w:p w14:paraId="37101829" w14:textId="7F7BA4F9" w:rsidR="00CF62F9" w:rsidRDefault="00CF62F9" w:rsidP="00895C57">
      <w:pPr>
        <w:spacing w:after="0" w:line="240" w:lineRule="auto"/>
        <w:jc w:val="both"/>
        <w:rPr>
          <w:rFonts w:ascii="Times New Roman" w:eastAsia="Times New Roman" w:hAnsi="Times New Roman" w:cs="Times New Roman"/>
          <w:snapToGrid w:val="0"/>
          <w:sz w:val="24"/>
          <w:szCs w:val="24"/>
        </w:rPr>
      </w:pPr>
    </w:p>
    <w:p w14:paraId="4574DA9E" w14:textId="2EF3CA79" w:rsidR="00CF62F9" w:rsidRDefault="00CF62F9" w:rsidP="00895C57">
      <w:pPr>
        <w:spacing w:after="0" w:line="240" w:lineRule="auto"/>
        <w:jc w:val="both"/>
        <w:rPr>
          <w:rFonts w:ascii="Times New Roman" w:eastAsia="Times New Roman" w:hAnsi="Times New Roman" w:cs="Times New Roman"/>
          <w:snapToGrid w:val="0"/>
          <w:sz w:val="24"/>
          <w:szCs w:val="24"/>
        </w:rPr>
      </w:pPr>
    </w:p>
    <w:p w14:paraId="59AB4D16" w14:textId="77777777" w:rsidR="00CF62F9" w:rsidRDefault="00CF62F9" w:rsidP="00895C57">
      <w:pPr>
        <w:spacing w:after="0" w:line="240" w:lineRule="auto"/>
        <w:jc w:val="both"/>
        <w:rPr>
          <w:rFonts w:ascii="Times New Roman" w:eastAsia="Times New Roman" w:hAnsi="Times New Roman" w:cs="Times New Roman"/>
          <w:snapToGrid w:val="0"/>
          <w:sz w:val="24"/>
          <w:szCs w:val="24"/>
        </w:rPr>
      </w:pPr>
    </w:p>
    <w:p w14:paraId="3DA3B61A" w14:textId="59989D5F" w:rsidR="00DE0A1B" w:rsidRDefault="00DE0A1B" w:rsidP="00895C57">
      <w:pPr>
        <w:spacing w:after="0" w:line="240" w:lineRule="auto"/>
        <w:jc w:val="both"/>
        <w:rPr>
          <w:rFonts w:ascii="Times New Roman" w:eastAsia="Times New Roman" w:hAnsi="Times New Roman" w:cs="Times New Roman"/>
          <w:snapToGrid w:val="0"/>
          <w:sz w:val="24"/>
          <w:szCs w:val="24"/>
        </w:rPr>
      </w:pPr>
    </w:p>
    <w:p w14:paraId="16CCC246" w14:textId="49A42244" w:rsidR="00DE0A1B" w:rsidRPr="00A72B3E" w:rsidRDefault="00DE0A1B" w:rsidP="00430207">
      <w:pPr>
        <w:spacing w:after="0" w:line="240" w:lineRule="auto"/>
        <w:jc w:val="center"/>
        <w:rPr>
          <w:rFonts w:ascii="Times New Roman" w:eastAsia="Times New Roman" w:hAnsi="Times New Roman" w:cs="Times New Roman"/>
          <w:snapToGrid w:val="0"/>
          <w:sz w:val="24"/>
          <w:szCs w:val="24"/>
        </w:rPr>
      </w:pPr>
      <w:r w:rsidRPr="00DE0A1B">
        <w:rPr>
          <w:rFonts w:ascii="Times New Roman" w:eastAsia="Times New Roman" w:hAnsi="Times New Roman" w:cs="Times New Roman"/>
          <w:b/>
          <w:snapToGrid w:val="0"/>
          <w:sz w:val="24"/>
          <w:szCs w:val="24"/>
          <w:u w:val="single"/>
        </w:rPr>
        <w:t>“Summary of the Committee’s Recommendations”</w:t>
      </w:r>
      <w:r w:rsidR="00430207">
        <w:rPr>
          <w:rFonts w:ascii="Times New Roman" w:eastAsia="Times New Roman" w:hAnsi="Times New Roman" w:cs="Times New Roman"/>
          <w:b/>
          <w:snapToGrid w:val="0"/>
          <w:sz w:val="24"/>
          <w:szCs w:val="24"/>
          <w:u w:val="single"/>
        </w:rPr>
        <w:br/>
      </w:r>
      <w:r w:rsidRPr="00DE0A1B">
        <w:rPr>
          <w:rFonts w:ascii="Times New Roman" w:eastAsia="Times New Roman" w:hAnsi="Times New Roman" w:cs="Times New Roman"/>
          <w:b/>
          <w:snapToGrid w:val="0"/>
          <w:sz w:val="24"/>
          <w:szCs w:val="24"/>
          <w:u w:val="single"/>
        </w:rPr>
        <w:t>(at pp. 5-7)</w:t>
      </w:r>
    </w:p>
    <w:p w14:paraId="6DFDB99A" w14:textId="39C62F73" w:rsidR="00DE0A1B" w:rsidRDefault="00DE0A1B" w:rsidP="00895C57">
      <w:pPr>
        <w:spacing w:after="0" w:line="240" w:lineRule="auto"/>
        <w:jc w:val="both"/>
        <w:rPr>
          <w:rFonts w:ascii="Times New Roman" w:eastAsia="Times New Roman" w:hAnsi="Times New Roman" w:cs="Times New Roman"/>
          <w:b/>
          <w:snapToGrid w:val="0"/>
          <w:sz w:val="24"/>
          <w:szCs w:val="24"/>
          <w:u w:val="single"/>
        </w:rPr>
      </w:pPr>
    </w:p>
    <w:p w14:paraId="1E5D84F2" w14:textId="343231FC" w:rsidR="00D2059F" w:rsidRDefault="00A72B3E" w:rsidP="00895C57">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This </w:t>
      </w:r>
      <w:r w:rsidR="00430207">
        <w:rPr>
          <w:rFonts w:ascii="Times New Roman" w:eastAsia="Times New Roman" w:hAnsi="Times New Roman" w:cs="Times New Roman"/>
          <w:snapToGrid w:val="0"/>
          <w:sz w:val="24"/>
          <w:szCs w:val="24"/>
        </w:rPr>
        <w:t xml:space="preserve">section </w:t>
      </w:r>
      <w:r>
        <w:rPr>
          <w:rFonts w:ascii="Times New Roman" w:eastAsia="Times New Roman" w:hAnsi="Times New Roman" w:cs="Times New Roman"/>
          <w:snapToGrid w:val="0"/>
          <w:sz w:val="24"/>
          <w:szCs w:val="24"/>
        </w:rPr>
        <w:t xml:space="preserve">is largely identical to </w:t>
      </w:r>
      <w:r w:rsidR="00430207">
        <w:rPr>
          <w:rFonts w:ascii="Times New Roman" w:eastAsia="Times New Roman" w:hAnsi="Times New Roman" w:cs="Times New Roman"/>
          <w:snapToGrid w:val="0"/>
          <w:sz w:val="24"/>
          <w:szCs w:val="24"/>
        </w:rPr>
        <w:t xml:space="preserve">the section of the </w:t>
      </w:r>
      <w:r w:rsidR="00D00ADA">
        <w:rPr>
          <w:rFonts w:ascii="Times New Roman" w:eastAsia="Times New Roman" w:hAnsi="Times New Roman" w:cs="Times New Roman"/>
          <w:snapToGrid w:val="0"/>
          <w:sz w:val="24"/>
          <w:szCs w:val="24"/>
        </w:rPr>
        <w:t xml:space="preserve">Committee’s </w:t>
      </w:r>
      <w:r w:rsidR="00430207">
        <w:rPr>
          <w:rFonts w:ascii="Times New Roman" w:eastAsia="Times New Roman" w:hAnsi="Times New Roman" w:cs="Times New Roman"/>
          <w:snapToGrid w:val="0"/>
          <w:sz w:val="24"/>
          <w:szCs w:val="24"/>
        </w:rPr>
        <w:t>Report</w:t>
      </w:r>
      <w:r>
        <w:rPr>
          <w:rFonts w:ascii="Times New Roman" w:eastAsia="Times New Roman" w:hAnsi="Times New Roman" w:cs="Times New Roman"/>
          <w:snapToGrid w:val="0"/>
          <w:sz w:val="24"/>
          <w:szCs w:val="24"/>
        </w:rPr>
        <w:t xml:space="preserve"> entitled “Recommendations” (at pp. 14-18), </w:t>
      </w:r>
      <w:r w:rsidR="00D2059F">
        <w:rPr>
          <w:rFonts w:ascii="Times New Roman" w:eastAsia="Times New Roman" w:hAnsi="Times New Roman" w:cs="Times New Roman"/>
          <w:snapToGrid w:val="0"/>
          <w:sz w:val="24"/>
          <w:szCs w:val="24"/>
        </w:rPr>
        <w:t xml:space="preserve">but without </w:t>
      </w:r>
      <w:r w:rsidR="00D00ADA">
        <w:rPr>
          <w:rFonts w:ascii="Times New Roman" w:eastAsia="Times New Roman" w:hAnsi="Times New Roman" w:cs="Times New Roman"/>
          <w:snapToGrid w:val="0"/>
          <w:sz w:val="24"/>
          <w:szCs w:val="24"/>
        </w:rPr>
        <w:t xml:space="preserve">the </w:t>
      </w:r>
      <w:r w:rsidR="00D2059F">
        <w:rPr>
          <w:rFonts w:ascii="Times New Roman" w:eastAsia="Times New Roman" w:hAnsi="Times New Roman" w:cs="Times New Roman"/>
          <w:snapToGrid w:val="0"/>
          <w:sz w:val="24"/>
          <w:szCs w:val="24"/>
        </w:rPr>
        <w:t xml:space="preserve">elaborative </w:t>
      </w:r>
      <w:r w:rsidR="00926FD5">
        <w:rPr>
          <w:rFonts w:ascii="Times New Roman" w:eastAsia="Times New Roman" w:hAnsi="Times New Roman" w:cs="Times New Roman"/>
          <w:snapToGrid w:val="0"/>
          <w:sz w:val="24"/>
          <w:szCs w:val="24"/>
        </w:rPr>
        <w:t>comments</w:t>
      </w:r>
      <w:r w:rsidR="00D2059F">
        <w:rPr>
          <w:rFonts w:ascii="Times New Roman" w:eastAsia="Times New Roman" w:hAnsi="Times New Roman" w:cs="Times New Roman"/>
          <w:snapToGrid w:val="0"/>
          <w:sz w:val="24"/>
          <w:szCs w:val="24"/>
        </w:rPr>
        <w:t xml:space="preserve"> there </w:t>
      </w:r>
      <w:r w:rsidR="00926FD5">
        <w:rPr>
          <w:rFonts w:ascii="Times New Roman" w:eastAsia="Times New Roman" w:hAnsi="Times New Roman" w:cs="Times New Roman"/>
          <w:snapToGrid w:val="0"/>
          <w:sz w:val="24"/>
          <w:szCs w:val="24"/>
        </w:rPr>
        <w:t>included</w:t>
      </w:r>
      <w:r w:rsidR="00D2059F">
        <w:rPr>
          <w:rFonts w:ascii="Times New Roman" w:eastAsia="Times New Roman" w:hAnsi="Times New Roman" w:cs="Times New Roman"/>
          <w:snapToGrid w:val="0"/>
          <w:sz w:val="24"/>
          <w:szCs w:val="24"/>
        </w:rPr>
        <w:t>.</w:t>
      </w:r>
    </w:p>
    <w:p w14:paraId="04B461A0" w14:textId="1711D8C5" w:rsidR="00172C0A" w:rsidRDefault="00172C0A" w:rsidP="00895C57">
      <w:pPr>
        <w:spacing w:after="0" w:line="240" w:lineRule="auto"/>
        <w:jc w:val="both"/>
        <w:rPr>
          <w:rFonts w:ascii="Times New Roman" w:eastAsia="Times New Roman" w:hAnsi="Times New Roman" w:cs="Times New Roman"/>
          <w:snapToGrid w:val="0"/>
          <w:sz w:val="24"/>
          <w:szCs w:val="24"/>
        </w:rPr>
      </w:pPr>
    </w:p>
    <w:p w14:paraId="02CB206B" w14:textId="49E7A98C" w:rsidR="00912C50" w:rsidRDefault="00912C50" w:rsidP="00430207">
      <w:pPr>
        <w:spacing w:after="0" w:line="480" w:lineRule="auto"/>
        <w:ind w:right="144"/>
        <w:jc w:val="center"/>
        <w:rPr>
          <w:rFonts w:ascii="Times New Roman" w:eastAsia="Times New Roman" w:hAnsi="Times New Roman" w:cs="Times New Roman"/>
          <w:b/>
          <w:snapToGrid w:val="0"/>
          <w:sz w:val="24"/>
          <w:szCs w:val="24"/>
          <w:u w:val="single"/>
        </w:rPr>
      </w:pPr>
      <w:r w:rsidRPr="0038507A">
        <w:rPr>
          <w:rFonts w:ascii="Times New Roman" w:eastAsia="Times New Roman" w:hAnsi="Times New Roman" w:cs="Times New Roman"/>
          <w:b/>
          <w:snapToGrid w:val="0"/>
          <w:sz w:val="24"/>
          <w:szCs w:val="24"/>
          <w:u w:val="single"/>
        </w:rPr>
        <w:t>“Statutory Mandate” (at pp. 7-9)</w:t>
      </w:r>
    </w:p>
    <w:p w14:paraId="294393D0" w14:textId="0FF3A068" w:rsidR="00C338C5" w:rsidRDefault="00C338C5" w:rsidP="00C338C5">
      <w:pPr>
        <w:spacing w:after="0" w:line="240" w:lineRule="auto"/>
        <w:ind w:right="144"/>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This section </w:t>
      </w:r>
      <w:r w:rsidR="00D46DDB">
        <w:rPr>
          <w:rFonts w:ascii="Times New Roman" w:eastAsia="Times New Roman" w:hAnsi="Times New Roman" w:cs="Times New Roman"/>
          <w:snapToGrid w:val="0"/>
          <w:sz w:val="24"/>
          <w:szCs w:val="24"/>
        </w:rPr>
        <w:t>purports to summarize Part HHH</w:t>
      </w:r>
      <w:r w:rsidR="00406E7D">
        <w:rPr>
          <w:rFonts w:ascii="Times New Roman" w:eastAsia="Times New Roman" w:hAnsi="Times New Roman" w:cs="Times New Roman"/>
          <w:snapToGrid w:val="0"/>
          <w:sz w:val="24"/>
          <w:szCs w:val="24"/>
        </w:rPr>
        <w:t xml:space="preserve"> of Chapter 59 of the Laws of 2018</w:t>
      </w:r>
      <w:r w:rsidR="00D46DDB">
        <w:rPr>
          <w:rFonts w:ascii="Times New Roman" w:eastAsia="Times New Roman" w:hAnsi="Times New Roman" w:cs="Times New Roman"/>
          <w:snapToGrid w:val="0"/>
          <w:sz w:val="24"/>
          <w:szCs w:val="24"/>
        </w:rPr>
        <w:t xml:space="preserve">, which it </w:t>
      </w:r>
      <w:r>
        <w:rPr>
          <w:rFonts w:ascii="Times New Roman" w:eastAsia="Times New Roman" w:hAnsi="Times New Roman" w:cs="Times New Roman"/>
          <w:snapToGrid w:val="0"/>
          <w:sz w:val="24"/>
          <w:szCs w:val="24"/>
        </w:rPr>
        <w:t>s</w:t>
      </w:r>
      <w:r w:rsidR="00912C50" w:rsidRPr="00DA0E2A">
        <w:rPr>
          <w:rFonts w:ascii="Times New Roman" w:eastAsia="Times New Roman" w:hAnsi="Times New Roman" w:cs="Times New Roman"/>
          <w:snapToGrid w:val="0"/>
          <w:sz w:val="24"/>
          <w:szCs w:val="24"/>
        </w:rPr>
        <w:t xml:space="preserve">electively </w:t>
      </w:r>
      <w:r w:rsidR="00912C50">
        <w:rPr>
          <w:rFonts w:ascii="Times New Roman" w:eastAsia="Times New Roman" w:hAnsi="Times New Roman" w:cs="Times New Roman"/>
          <w:snapToGrid w:val="0"/>
          <w:sz w:val="24"/>
          <w:szCs w:val="24"/>
        </w:rPr>
        <w:t xml:space="preserve">and inconsistently </w:t>
      </w:r>
      <w:r w:rsidR="00C57C8A">
        <w:rPr>
          <w:rFonts w:ascii="Times New Roman" w:eastAsia="Times New Roman" w:hAnsi="Times New Roman" w:cs="Times New Roman"/>
          <w:snapToGrid w:val="0"/>
          <w:sz w:val="24"/>
          <w:szCs w:val="24"/>
        </w:rPr>
        <w:t>cites</w:t>
      </w:r>
      <w:r>
        <w:rPr>
          <w:rFonts w:ascii="Times New Roman" w:eastAsia="Times New Roman" w:hAnsi="Times New Roman" w:cs="Times New Roman"/>
          <w:snapToGrid w:val="0"/>
          <w:sz w:val="24"/>
          <w:szCs w:val="24"/>
        </w:rPr>
        <w:t xml:space="preserve"> </w:t>
      </w:r>
      <w:r w:rsidR="00C57C8A">
        <w:rPr>
          <w:rFonts w:ascii="Times New Roman" w:eastAsia="Times New Roman" w:hAnsi="Times New Roman" w:cs="Times New Roman"/>
          <w:snapToGrid w:val="0"/>
          <w:sz w:val="24"/>
          <w:szCs w:val="24"/>
        </w:rPr>
        <w:t>i</w:t>
      </w:r>
      <w:r w:rsidR="00912C50">
        <w:rPr>
          <w:rFonts w:ascii="Times New Roman" w:eastAsia="Times New Roman" w:hAnsi="Times New Roman" w:cs="Times New Roman"/>
          <w:snapToGrid w:val="0"/>
          <w:sz w:val="24"/>
          <w:szCs w:val="24"/>
        </w:rPr>
        <w:t xml:space="preserve">n some </w:t>
      </w:r>
      <w:r w:rsidR="00C57C8A">
        <w:rPr>
          <w:rFonts w:ascii="Times New Roman" w:eastAsia="Times New Roman" w:hAnsi="Times New Roman" w:cs="Times New Roman"/>
          <w:snapToGrid w:val="0"/>
          <w:sz w:val="24"/>
          <w:szCs w:val="24"/>
        </w:rPr>
        <w:t>of its paragraphs</w:t>
      </w:r>
      <w:r w:rsidR="0032678B">
        <w:rPr>
          <w:rFonts w:ascii="Times New Roman" w:eastAsia="Times New Roman" w:hAnsi="Times New Roman" w:cs="Times New Roman"/>
          <w:snapToGrid w:val="0"/>
          <w:sz w:val="24"/>
          <w:szCs w:val="24"/>
        </w:rPr>
        <w:t>, but</w:t>
      </w:r>
      <w:r w:rsidR="00C57C8A">
        <w:rPr>
          <w:rFonts w:ascii="Times New Roman" w:eastAsia="Times New Roman" w:hAnsi="Times New Roman" w:cs="Times New Roman"/>
          <w:snapToGrid w:val="0"/>
          <w:sz w:val="24"/>
          <w:szCs w:val="24"/>
        </w:rPr>
        <w:t xml:space="preserve"> not in others</w:t>
      </w:r>
      <w:r w:rsidR="00912C50">
        <w:rPr>
          <w:rFonts w:ascii="Times New Roman" w:eastAsia="Times New Roman" w:hAnsi="Times New Roman" w:cs="Times New Roman"/>
          <w:snapToGrid w:val="0"/>
          <w:sz w:val="24"/>
          <w:szCs w:val="24"/>
        </w:rPr>
        <w:t>.</w:t>
      </w:r>
    </w:p>
    <w:p w14:paraId="7781F334" w14:textId="77777777" w:rsidR="00C338C5" w:rsidRDefault="00C338C5" w:rsidP="00C338C5">
      <w:pPr>
        <w:spacing w:after="0" w:line="240" w:lineRule="auto"/>
        <w:ind w:right="144"/>
        <w:jc w:val="both"/>
        <w:rPr>
          <w:rFonts w:ascii="Times New Roman" w:eastAsia="Times New Roman" w:hAnsi="Times New Roman" w:cs="Times New Roman"/>
          <w:snapToGrid w:val="0"/>
          <w:sz w:val="24"/>
          <w:szCs w:val="24"/>
        </w:rPr>
      </w:pPr>
    </w:p>
    <w:p w14:paraId="47DF3828" w14:textId="77777777" w:rsidR="00406E7D" w:rsidRDefault="00406E7D" w:rsidP="006F601A">
      <w:pPr>
        <w:spacing w:after="0" w:line="240" w:lineRule="auto"/>
        <w:ind w:right="144"/>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Thus, </w:t>
      </w:r>
      <w:r w:rsidR="00CF7179">
        <w:rPr>
          <w:rFonts w:ascii="Times New Roman" w:eastAsia="Times New Roman" w:hAnsi="Times New Roman" w:cs="Times New Roman"/>
          <w:snapToGrid w:val="0"/>
          <w:sz w:val="24"/>
          <w:szCs w:val="24"/>
        </w:rPr>
        <w:t xml:space="preserve">without citing to any section of </w:t>
      </w:r>
      <w:r w:rsidR="00E300CA">
        <w:rPr>
          <w:rFonts w:ascii="Times New Roman" w:eastAsia="Times New Roman" w:hAnsi="Times New Roman" w:cs="Times New Roman"/>
          <w:snapToGrid w:val="0"/>
          <w:sz w:val="24"/>
          <w:szCs w:val="24"/>
        </w:rPr>
        <w:t>Part HHH</w:t>
      </w:r>
      <w:r w:rsidR="00CF7179">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the first paragraph states:</w:t>
      </w:r>
    </w:p>
    <w:p w14:paraId="3F06250A" w14:textId="69C7BE42" w:rsidR="00406E7D" w:rsidRDefault="00406E7D" w:rsidP="006F601A">
      <w:pPr>
        <w:spacing w:after="0" w:line="240" w:lineRule="auto"/>
        <w:ind w:right="144"/>
        <w:jc w:val="both"/>
        <w:rPr>
          <w:rFonts w:ascii="Times New Roman" w:eastAsia="Times New Roman" w:hAnsi="Times New Roman" w:cs="Times New Roman"/>
          <w:snapToGrid w:val="0"/>
          <w:sz w:val="24"/>
          <w:szCs w:val="24"/>
        </w:rPr>
      </w:pPr>
    </w:p>
    <w:p w14:paraId="2EDACAB6" w14:textId="50841592" w:rsidR="00406E7D" w:rsidRDefault="00406E7D" w:rsidP="00406E7D">
      <w:p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provisions of law which established this Committee are found at Part HHH of Chapter 59 of the Laws of 2018.  These provisions establish a one-time committee </w:t>
      </w:r>
      <w:r w:rsidRPr="009D0C9E">
        <w:rPr>
          <w:rFonts w:ascii="Times New Roman" w:eastAsia="Times New Roman" w:hAnsi="Times New Roman" w:cs="Times New Roman"/>
          <w:snapToGrid w:val="0"/>
          <w:sz w:val="24"/>
          <w:szCs w:val="24"/>
          <w:u w:val="single"/>
        </w:rPr>
        <w:t>to consider the compensation</w:t>
      </w:r>
      <w:r>
        <w:rPr>
          <w:rFonts w:ascii="Times New Roman" w:eastAsia="Times New Roman" w:hAnsi="Times New Roman" w:cs="Times New Roman"/>
          <w:snapToGrid w:val="0"/>
          <w:sz w:val="24"/>
          <w:szCs w:val="24"/>
        </w:rPr>
        <w:t xml:space="preserve"> of statewide elected officials, the Commissioners of the state agencies whose salaries are contained in Section 169 of the Executive Law, and the compensation of the Legislature, whose salaries and allowances are contained in Legislative Law </w:t>
      </w:r>
      <w:r w:rsidRPr="00AB7928">
        <w:rPr>
          <w:rFonts w:ascii="Times New Roman" w:eastAsia="Calibri" w:hAnsi="Times New Roman" w:cs="Times New Roman"/>
          <w:bCs/>
          <w:color w:val="333333"/>
          <w:sz w:val="24"/>
          <w:szCs w:val="24"/>
          <w:shd w:val="clear" w:color="auto" w:fill="FFFFFF"/>
        </w:rPr>
        <w:t>§</w:t>
      </w:r>
      <w:r>
        <w:rPr>
          <w:rFonts w:ascii="Times New Roman" w:eastAsia="Times New Roman" w:hAnsi="Times New Roman" w:cs="Times New Roman"/>
          <w:snapToGrid w:val="0"/>
          <w:sz w:val="24"/>
          <w:szCs w:val="24"/>
        </w:rPr>
        <w:t xml:space="preserve">5 and </w:t>
      </w:r>
      <w:r w:rsidRPr="00AB7928">
        <w:rPr>
          <w:rFonts w:ascii="Times New Roman" w:eastAsia="Calibri" w:hAnsi="Times New Roman" w:cs="Times New Roman"/>
          <w:bCs/>
          <w:color w:val="333333"/>
          <w:sz w:val="24"/>
          <w:szCs w:val="24"/>
          <w:shd w:val="clear" w:color="auto" w:fill="FFFFFF"/>
        </w:rPr>
        <w:t>§</w:t>
      </w:r>
      <w:r>
        <w:rPr>
          <w:rFonts w:ascii="Times New Roman" w:eastAsia="Times New Roman" w:hAnsi="Times New Roman" w:cs="Times New Roman"/>
          <w:snapToGrid w:val="0"/>
          <w:sz w:val="24"/>
          <w:szCs w:val="24"/>
        </w:rPr>
        <w:t>5-a.”</w:t>
      </w:r>
      <w:r w:rsidR="009D0F4E">
        <w:rPr>
          <w:rFonts w:ascii="Times New Roman" w:eastAsia="Times New Roman" w:hAnsi="Times New Roman" w:cs="Times New Roman"/>
          <w:snapToGrid w:val="0"/>
          <w:sz w:val="24"/>
          <w:szCs w:val="24"/>
        </w:rPr>
        <w:t xml:space="preserve">  (underlining added).</w:t>
      </w:r>
    </w:p>
    <w:p w14:paraId="5138A1AE" w14:textId="049F7D63" w:rsidR="00406E7D" w:rsidRDefault="00406E7D" w:rsidP="006F601A">
      <w:pPr>
        <w:spacing w:after="0" w:line="240" w:lineRule="auto"/>
        <w:ind w:right="144"/>
        <w:jc w:val="both"/>
        <w:rPr>
          <w:rFonts w:ascii="Times New Roman" w:eastAsia="Times New Roman" w:hAnsi="Times New Roman" w:cs="Times New Roman"/>
          <w:snapToGrid w:val="0"/>
          <w:sz w:val="24"/>
          <w:szCs w:val="24"/>
        </w:rPr>
      </w:pPr>
    </w:p>
    <w:p w14:paraId="379DC2B9" w14:textId="3CBEC871" w:rsidR="006F601A" w:rsidRDefault="0032678B" w:rsidP="006F601A">
      <w:pPr>
        <w:spacing w:after="0" w:line="240" w:lineRule="auto"/>
        <w:ind w:right="144"/>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This is too broad.  </w:t>
      </w:r>
      <w:r w:rsidR="00406E7D">
        <w:rPr>
          <w:rFonts w:ascii="Times New Roman" w:eastAsia="Times New Roman" w:hAnsi="Times New Roman" w:cs="Times New Roman"/>
          <w:snapToGrid w:val="0"/>
          <w:sz w:val="24"/>
          <w:szCs w:val="24"/>
        </w:rPr>
        <w:t>The Committee’s</w:t>
      </w:r>
      <w:r>
        <w:rPr>
          <w:rFonts w:ascii="Times New Roman" w:eastAsia="Times New Roman" w:hAnsi="Times New Roman" w:cs="Times New Roman"/>
          <w:snapToGrid w:val="0"/>
          <w:sz w:val="24"/>
          <w:szCs w:val="24"/>
        </w:rPr>
        <w:t xml:space="preserve"> </w:t>
      </w:r>
      <w:r w:rsidR="00CF7179">
        <w:rPr>
          <w:rFonts w:ascii="Times New Roman" w:eastAsia="Times New Roman" w:hAnsi="Times New Roman" w:cs="Times New Roman"/>
          <w:snapToGrid w:val="0"/>
          <w:sz w:val="24"/>
          <w:szCs w:val="24"/>
        </w:rPr>
        <w:t>charge</w:t>
      </w:r>
      <w:r w:rsidR="00D625CD">
        <w:rPr>
          <w:rFonts w:ascii="Times New Roman" w:eastAsia="Times New Roman" w:hAnsi="Times New Roman" w:cs="Times New Roman"/>
          <w:snapToGrid w:val="0"/>
          <w:sz w:val="24"/>
          <w:szCs w:val="24"/>
        </w:rPr>
        <w:t xml:space="preserve"> was NOT “to consider…compensation”, as, for instance, how it is structured, but</w:t>
      </w:r>
      <w:r w:rsidR="00CF7179">
        <w:rPr>
          <w:rFonts w:ascii="Times New Roman" w:eastAsia="Times New Roman" w:hAnsi="Times New Roman" w:cs="Times New Roman"/>
          <w:snapToGrid w:val="0"/>
          <w:sz w:val="24"/>
          <w:szCs w:val="24"/>
        </w:rPr>
        <w:t xml:space="preserve">, pursuant to </w:t>
      </w:r>
      <w:r w:rsidR="00657106" w:rsidRPr="00AB7928">
        <w:rPr>
          <w:rFonts w:ascii="Times New Roman" w:eastAsia="Calibri" w:hAnsi="Times New Roman" w:cs="Times New Roman"/>
          <w:bCs/>
          <w:color w:val="333333"/>
          <w:sz w:val="24"/>
          <w:szCs w:val="24"/>
          <w:shd w:val="clear" w:color="auto" w:fill="FFFFFF"/>
        </w:rPr>
        <w:t>§</w:t>
      </w:r>
      <w:r w:rsidR="00657106">
        <w:rPr>
          <w:rFonts w:ascii="Times New Roman" w:eastAsia="Times New Roman" w:hAnsi="Times New Roman" w:cs="Times New Roman"/>
          <w:snapToGrid w:val="0"/>
          <w:sz w:val="24"/>
          <w:szCs w:val="24"/>
        </w:rPr>
        <w:t>1</w:t>
      </w:r>
      <w:r w:rsidR="00CF7179">
        <w:rPr>
          <w:rFonts w:ascii="Times New Roman" w:eastAsia="Times New Roman" w:hAnsi="Times New Roman" w:cs="Times New Roman"/>
          <w:snapToGrid w:val="0"/>
          <w:sz w:val="24"/>
          <w:szCs w:val="24"/>
        </w:rPr>
        <w:t xml:space="preserve">, </w:t>
      </w:r>
      <w:r w:rsidR="00AD2969">
        <w:rPr>
          <w:rFonts w:ascii="Times New Roman" w:eastAsia="Times New Roman" w:hAnsi="Times New Roman" w:cs="Times New Roman"/>
          <w:snapToGrid w:val="0"/>
          <w:sz w:val="24"/>
          <w:szCs w:val="24"/>
        </w:rPr>
        <w:t>“</w:t>
      </w:r>
      <w:r w:rsidR="006F601A">
        <w:rPr>
          <w:rFonts w:ascii="Times New Roman" w:eastAsia="Times New Roman" w:hAnsi="Times New Roman" w:cs="Times New Roman"/>
          <w:snapToGrid w:val="0"/>
          <w:sz w:val="24"/>
          <w:szCs w:val="24"/>
        </w:rPr>
        <w:t xml:space="preserve">to examine, evaluate and make recommendations with respect to </w:t>
      </w:r>
      <w:r w:rsidR="00AD2969">
        <w:rPr>
          <w:rFonts w:ascii="Times New Roman" w:eastAsia="Times New Roman" w:hAnsi="Times New Roman" w:cs="Times New Roman"/>
          <w:snapToGrid w:val="0"/>
          <w:sz w:val="24"/>
          <w:szCs w:val="24"/>
        </w:rPr>
        <w:t>adequate levels of compensation”</w:t>
      </w:r>
      <w:r w:rsidR="00657106">
        <w:rPr>
          <w:rFonts w:ascii="Times New Roman" w:eastAsia="Calibri" w:hAnsi="Times New Roman" w:cs="Times New Roman"/>
          <w:bCs/>
          <w:color w:val="333333"/>
          <w:sz w:val="24"/>
          <w:szCs w:val="24"/>
          <w:shd w:val="clear" w:color="auto" w:fill="FFFFFF"/>
        </w:rPr>
        <w:t xml:space="preserve"> – </w:t>
      </w:r>
      <w:r w:rsidR="006F601A">
        <w:rPr>
          <w:rFonts w:ascii="Times New Roman" w:eastAsia="Calibri" w:hAnsi="Times New Roman" w:cs="Times New Roman"/>
          <w:bCs/>
          <w:color w:val="333333"/>
          <w:sz w:val="24"/>
          <w:szCs w:val="24"/>
          <w:shd w:val="clear" w:color="auto" w:fill="FFFFFF"/>
        </w:rPr>
        <w:t xml:space="preserve">and </w:t>
      </w:r>
      <w:r w:rsidR="00B67761">
        <w:rPr>
          <w:rFonts w:ascii="Times New Roman" w:eastAsia="Calibri" w:hAnsi="Times New Roman" w:cs="Times New Roman"/>
          <w:bCs/>
          <w:color w:val="333333"/>
          <w:sz w:val="24"/>
          <w:szCs w:val="24"/>
          <w:shd w:val="clear" w:color="auto" w:fill="FFFFFF"/>
        </w:rPr>
        <w:t xml:space="preserve">reinforcing this is </w:t>
      </w:r>
      <w:r w:rsidR="00657106" w:rsidRPr="00AB7928">
        <w:rPr>
          <w:rFonts w:ascii="Times New Roman" w:eastAsia="Calibri" w:hAnsi="Times New Roman" w:cs="Times New Roman"/>
          <w:bCs/>
          <w:color w:val="333333"/>
          <w:sz w:val="24"/>
          <w:szCs w:val="24"/>
          <w:shd w:val="clear" w:color="auto" w:fill="FFFFFF"/>
        </w:rPr>
        <w:t>§</w:t>
      </w:r>
      <w:r w:rsidR="00657106">
        <w:rPr>
          <w:rFonts w:ascii="Times New Roman" w:eastAsia="Calibri" w:hAnsi="Times New Roman" w:cs="Times New Roman"/>
          <w:bCs/>
          <w:color w:val="333333"/>
          <w:sz w:val="24"/>
          <w:szCs w:val="24"/>
          <w:shd w:val="clear" w:color="auto" w:fill="FFFFFF"/>
        </w:rPr>
        <w:t>2</w:t>
      </w:r>
      <w:r w:rsidR="005D0ADE">
        <w:rPr>
          <w:rFonts w:ascii="Times New Roman" w:eastAsia="Calibri" w:hAnsi="Times New Roman" w:cs="Times New Roman"/>
          <w:bCs/>
          <w:color w:val="333333"/>
          <w:sz w:val="24"/>
          <w:szCs w:val="24"/>
          <w:shd w:val="clear" w:color="auto" w:fill="FFFFFF"/>
        </w:rPr>
        <w:t>.1</w:t>
      </w:r>
      <w:r w:rsidR="006F601A">
        <w:rPr>
          <w:rFonts w:ascii="Times New Roman" w:eastAsia="Times New Roman" w:hAnsi="Times New Roman" w:cs="Times New Roman"/>
          <w:snapToGrid w:val="0"/>
          <w:sz w:val="24"/>
          <w:szCs w:val="24"/>
        </w:rPr>
        <w:t xml:space="preserve">, </w:t>
      </w:r>
      <w:r w:rsidR="00926FD5">
        <w:rPr>
          <w:rFonts w:ascii="Times New Roman" w:eastAsia="Times New Roman" w:hAnsi="Times New Roman" w:cs="Times New Roman"/>
          <w:snapToGrid w:val="0"/>
          <w:sz w:val="24"/>
          <w:szCs w:val="24"/>
        </w:rPr>
        <w:t>s</w:t>
      </w:r>
      <w:r w:rsidR="006F601A">
        <w:rPr>
          <w:rFonts w:ascii="Times New Roman" w:eastAsia="Times New Roman" w:hAnsi="Times New Roman" w:cs="Times New Roman"/>
          <w:snapToGrid w:val="0"/>
          <w:sz w:val="24"/>
          <w:szCs w:val="24"/>
        </w:rPr>
        <w:t xml:space="preserve">tating that it </w:t>
      </w:r>
      <w:r w:rsidR="00AD2969">
        <w:rPr>
          <w:rFonts w:ascii="Times New Roman" w:eastAsia="Times New Roman" w:hAnsi="Times New Roman" w:cs="Times New Roman"/>
          <w:snapToGrid w:val="0"/>
          <w:sz w:val="24"/>
          <w:szCs w:val="24"/>
        </w:rPr>
        <w:t>“</w:t>
      </w:r>
      <w:r w:rsidR="006F601A">
        <w:rPr>
          <w:rFonts w:ascii="Times New Roman" w:eastAsia="Times New Roman" w:hAnsi="Times New Roman" w:cs="Times New Roman"/>
          <w:snapToGrid w:val="0"/>
          <w:sz w:val="24"/>
          <w:szCs w:val="24"/>
        </w:rPr>
        <w:t xml:space="preserve">shall examine </w:t>
      </w:r>
      <w:r w:rsidR="00AD2969">
        <w:rPr>
          <w:rFonts w:ascii="Times New Roman" w:eastAsia="Times New Roman" w:hAnsi="Times New Roman" w:cs="Times New Roman"/>
          <w:snapToGrid w:val="0"/>
          <w:sz w:val="24"/>
          <w:szCs w:val="24"/>
        </w:rPr>
        <w:t>the prevailing adequacy</w:t>
      </w:r>
      <w:r w:rsidR="00657106">
        <w:rPr>
          <w:rFonts w:ascii="Times New Roman" w:eastAsia="Times New Roman" w:hAnsi="Times New Roman" w:cs="Times New Roman"/>
          <w:snapToGrid w:val="0"/>
          <w:sz w:val="24"/>
          <w:szCs w:val="24"/>
        </w:rPr>
        <w:t xml:space="preserve"> of pay levels, allowances…and other non-salary benefits</w:t>
      </w:r>
      <w:r w:rsidR="00AD2969">
        <w:rPr>
          <w:rFonts w:ascii="Times New Roman" w:eastAsia="Times New Roman" w:hAnsi="Times New Roman" w:cs="Times New Roman"/>
          <w:snapToGrid w:val="0"/>
          <w:sz w:val="24"/>
          <w:szCs w:val="24"/>
        </w:rPr>
        <w:t>”</w:t>
      </w:r>
      <w:r w:rsidR="0065060C">
        <w:rPr>
          <w:rFonts w:ascii="Times New Roman" w:eastAsia="Times New Roman" w:hAnsi="Times New Roman" w:cs="Times New Roman"/>
          <w:snapToGrid w:val="0"/>
          <w:sz w:val="24"/>
          <w:szCs w:val="24"/>
        </w:rPr>
        <w:t>.</w:t>
      </w:r>
      <w:r w:rsidR="00DA6512">
        <w:rPr>
          <w:rStyle w:val="FootnoteReference"/>
          <w:rFonts w:ascii="Times New Roman" w:eastAsia="Times New Roman" w:hAnsi="Times New Roman" w:cs="Times New Roman"/>
          <w:snapToGrid w:val="0"/>
          <w:sz w:val="24"/>
          <w:szCs w:val="24"/>
        </w:rPr>
        <w:footnoteReference w:id="1"/>
      </w:r>
      <w:r w:rsidR="0065060C">
        <w:rPr>
          <w:rFonts w:ascii="Times New Roman" w:eastAsia="Times New Roman" w:hAnsi="Times New Roman" w:cs="Times New Roman"/>
          <w:snapToGrid w:val="0"/>
          <w:sz w:val="24"/>
          <w:szCs w:val="24"/>
        </w:rPr>
        <w:t xml:space="preserve">  </w:t>
      </w:r>
      <w:r w:rsidR="004923B7">
        <w:rPr>
          <w:rFonts w:ascii="Times New Roman" w:eastAsia="Times New Roman" w:hAnsi="Times New Roman" w:cs="Times New Roman"/>
          <w:snapToGrid w:val="0"/>
          <w:sz w:val="24"/>
          <w:szCs w:val="24"/>
        </w:rPr>
        <w:t xml:space="preserve"> </w:t>
      </w:r>
    </w:p>
    <w:p w14:paraId="18008AD9" w14:textId="77777777" w:rsidR="00DA6512" w:rsidRDefault="00DA6512" w:rsidP="006F601A">
      <w:pPr>
        <w:spacing w:after="0" w:line="240" w:lineRule="auto"/>
        <w:ind w:right="144"/>
        <w:jc w:val="both"/>
        <w:rPr>
          <w:rFonts w:ascii="Times New Roman" w:eastAsia="Times New Roman" w:hAnsi="Times New Roman" w:cs="Times New Roman"/>
          <w:snapToGrid w:val="0"/>
          <w:sz w:val="24"/>
          <w:szCs w:val="24"/>
        </w:rPr>
      </w:pPr>
    </w:p>
    <w:p w14:paraId="4212A28C" w14:textId="6B7010F6" w:rsidR="00912C50" w:rsidRDefault="00CF7179" w:rsidP="0065060C">
      <w:pPr>
        <w:spacing w:after="0" w:line="240" w:lineRule="auto"/>
        <w:ind w:right="144"/>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w:t>
      </w:r>
      <w:r w:rsidR="00362511">
        <w:rPr>
          <w:rFonts w:ascii="Times New Roman" w:eastAsia="Times New Roman" w:hAnsi="Times New Roman" w:cs="Times New Roman"/>
          <w:snapToGrid w:val="0"/>
          <w:sz w:val="24"/>
          <w:szCs w:val="24"/>
        </w:rPr>
        <w:t xml:space="preserve">second </w:t>
      </w:r>
      <w:r w:rsidR="00657106">
        <w:rPr>
          <w:rFonts w:ascii="Times New Roman" w:eastAsia="Times New Roman" w:hAnsi="Times New Roman" w:cs="Times New Roman"/>
          <w:snapToGrid w:val="0"/>
          <w:sz w:val="24"/>
          <w:szCs w:val="24"/>
        </w:rPr>
        <w:t xml:space="preserve">and third </w:t>
      </w:r>
      <w:r w:rsidR="00362511">
        <w:rPr>
          <w:rFonts w:ascii="Times New Roman" w:eastAsia="Times New Roman" w:hAnsi="Times New Roman" w:cs="Times New Roman"/>
          <w:snapToGrid w:val="0"/>
          <w:sz w:val="24"/>
          <w:szCs w:val="24"/>
        </w:rPr>
        <w:t>paragraph</w:t>
      </w:r>
      <w:r w:rsidR="00657106">
        <w:rPr>
          <w:rFonts w:ascii="Times New Roman" w:eastAsia="Times New Roman" w:hAnsi="Times New Roman" w:cs="Times New Roman"/>
          <w:snapToGrid w:val="0"/>
          <w:sz w:val="24"/>
          <w:szCs w:val="24"/>
        </w:rPr>
        <w:t>s</w:t>
      </w:r>
      <w:r w:rsidR="00362511">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of this section </w:t>
      </w:r>
      <w:r w:rsidR="00DE4551">
        <w:rPr>
          <w:rFonts w:ascii="Times New Roman" w:eastAsia="Times New Roman" w:hAnsi="Times New Roman" w:cs="Times New Roman"/>
          <w:snapToGrid w:val="0"/>
          <w:sz w:val="24"/>
          <w:szCs w:val="24"/>
        </w:rPr>
        <w:t xml:space="preserve">then </w:t>
      </w:r>
      <w:r w:rsidR="00912C50" w:rsidRPr="00CF7179">
        <w:rPr>
          <w:rFonts w:ascii="Times New Roman" w:eastAsia="Times New Roman" w:hAnsi="Times New Roman" w:cs="Times New Roman"/>
          <w:snapToGrid w:val="0"/>
          <w:sz w:val="24"/>
          <w:szCs w:val="24"/>
          <w:u w:val="single"/>
        </w:rPr>
        <w:t>digress to a defense of the statute’s constitutionality</w:t>
      </w:r>
      <w:r w:rsidR="00977C59">
        <w:rPr>
          <w:rFonts w:ascii="Times New Roman" w:eastAsia="Times New Roman" w:hAnsi="Times New Roman" w:cs="Times New Roman"/>
          <w:snapToGrid w:val="0"/>
          <w:sz w:val="24"/>
          <w:szCs w:val="24"/>
          <w:u w:val="single"/>
        </w:rPr>
        <w:t>.</w:t>
      </w:r>
      <w:r w:rsidR="00912C50">
        <w:rPr>
          <w:rFonts w:ascii="Times New Roman" w:eastAsia="Times New Roman" w:hAnsi="Times New Roman" w:cs="Times New Roman"/>
          <w:snapToGrid w:val="0"/>
          <w:sz w:val="24"/>
          <w:szCs w:val="24"/>
        </w:rPr>
        <w:t xml:space="preserve"> </w:t>
      </w:r>
      <w:r w:rsidR="00977C59">
        <w:rPr>
          <w:rFonts w:ascii="Times New Roman" w:eastAsia="Times New Roman" w:hAnsi="Times New Roman" w:cs="Times New Roman"/>
          <w:snapToGrid w:val="0"/>
          <w:sz w:val="24"/>
          <w:szCs w:val="24"/>
        </w:rPr>
        <w:t xml:space="preserve">  The second paragraph reads:</w:t>
      </w:r>
    </w:p>
    <w:p w14:paraId="276C37FD" w14:textId="77777777" w:rsidR="00657106" w:rsidRDefault="00657106" w:rsidP="0065060C">
      <w:pPr>
        <w:spacing w:after="0" w:line="240" w:lineRule="auto"/>
        <w:ind w:right="144"/>
        <w:jc w:val="both"/>
        <w:rPr>
          <w:rFonts w:ascii="Times New Roman" w:eastAsia="Times New Roman" w:hAnsi="Times New Roman" w:cs="Times New Roman"/>
          <w:snapToGrid w:val="0"/>
          <w:sz w:val="24"/>
          <w:szCs w:val="24"/>
        </w:rPr>
      </w:pPr>
    </w:p>
    <w:p w14:paraId="50FABAC9" w14:textId="160E9251" w:rsidR="00977C59" w:rsidRDefault="00912C50" w:rsidP="00912C50">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“While a full copy of this legislation is attached at the end of this report, it is important to note that this section of law fits within a Constitutional framework.  The compensation of statewide elected officials and legislators is a matter which is addressed in both Article III and Article IV of the New York State Constitution.</w:t>
      </w:r>
      <w:r w:rsidR="00977C59">
        <w:rPr>
          <w:rFonts w:ascii="Times New Roman" w:eastAsia="Times New Roman" w:hAnsi="Times New Roman" w:cs="Times New Roman"/>
          <w:snapToGrid w:val="0"/>
          <w:sz w:val="24"/>
          <w:szCs w:val="24"/>
        </w:rPr>
        <w:t>”</w:t>
      </w:r>
    </w:p>
    <w:p w14:paraId="46CC1C71" w14:textId="77777777" w:rsidR="00977C59" w:rsidRDefault="00977C59" w:rsidP="00977C59">
      <w:pPr>
        <w:spacing w:after="0" w:line="240" w:lineRule="auto"/>
        <w:ind w:right="720"/>
        <w:jc w:val="both"/>
        <w:rPr>
          <w:rFonts w:ascii="Times New Roman" w:eastAsia="Times New Roman" w:hAnsi="Times New Roman" w:cs="Times New Roman"/>
          <w:snapToGrid w:val="0"/>
          <w:sz w:val="24"/>
          <w:szCs w:val="24"/>
        </w:rPr>
      </w:pPr>
    </w:p>
    <w:p w14:paraId="2EC01C3D" w14:textId="0814D3BD" w:rsidR="00657106" w:rsidRDefault="00977C59" w:rsidP="00406E7D">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This is a deceit</w:t>
      </w:r>
      <w:r w:rsidR="00DA6512">
        <w:rPr>
          <w:rFonts w:ascii="Times New Roman" w:eastAsia="Times New Roman" w:hAnsi="Times New Roman" w:cs="Times New Roman"/>
          <w:snapToGrid w:val="0"/>
          <w:sz w:val="24"/>
          <w:szCs w:val="24"/>
        </w:rPr>
        <w:t xml:space="preserve"> as t</w:t>
      </w:r>
      <w:r>
        <w:rPr>
          <w:rFonts w:ascii="Times New Roman" w:eastAsia="Times New Roman" w:hAnsi="Times New Roman" w:cs="Times New Roman"/>
          <w:snapToGrid w:val="0"/>
          <w:sz w:val="24"/>
          <w:szCs w:val="24"/>
        </w:rPr>
        <w:t>he phrase “fits within a Constitutional framework” is intended to imply that the statute is consistent with the Constitution – and, specifically, Article III and Article IV</w:t>
      </w:r>
      <w:r w:rsidR="00DA6512">
        <w:rPr>
          <w:rFonts w:ascii="Times New Roman" w:eastAsia="Times New Roman" w:hAnsi="Times New Roman" w:cs="Times New Roman"/>
          <w:snapToGrid w:val="0"/>
          <w:sz w:val="24"/>
          <w:szCs w:val="24"/>
        </w:rPr>
        <w:t>, which it is not</w:t>
      </w:r>
      <w:r>
        <w:rPr>
          <w:rFonts w:ascii="Times New Roman" w:eastAsia="Times New Roman" w:hAnsi="Times New Roman" w:cs="Times New Roman"/>
          <w:snapToGrid w:val="0"/>
          <w:sz w:val="24"/>
          <w:szCs w:val="24"/>
        </w:rPr>
        <w:t>.  That this is the intended inference is made manifest by the third paragraph, reading:</w:t>
      </w:r>
      <w:r w:rsidR="00912C50">
        <w:rPr>
          <w:rFonts w:ascii="Times New Roman" w:eastAsia="Times New Roman" w:hAnsi="Times New Roman" w:cs="Times New Roman"/>
          <w:snapToGrid w:val="0"/>
          <w:sz w:val="24"/>
          <w:szCs w:val="24"/>
        </w:rPr>
        <w:t xml:space="preserve">   </w:t>
      </w:r>
    </w:p>
    <w:p w14:paraId="1F662008" w14:textId="77777777" w:rsidR="00657106" w:rsidRDefault="00657106" w:rsidP="00912C50">
      <w:pPr>
        <w:spacing w:after="0" w:line="240" w:lineRule="auto"/>
        <w:ind w:left="720" w:right="720"/>
        <w:jc w:val="both"/>
        <w:rPr>
          <w:rFonts w:ascii="Times New Roman" w:eastAsia="Times New Roman" w:hAnsi="Times New Roman" w:cs="Times New Roman"/>
          <w:snapToGrid w:val="0"/>
          <w:sz w:val="24"/>
          <w:szCs w:val="24"/>
        </w:rPr>
      </w:pPr>
    </w:p>
    <w:p w14:paraId="2101119C" w14:textId="2C980084" w:rsidR="00912C50" w:rsidRDefault="00395319" w:rsidP="00912C50">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r w:rsidR="00912C50">
        <w:rPr>
          <w:rFonts w:ascii="Times New Roman" w:eastAsia="Times New Roman" w:hAnsi="Times New Roman" w:cs="Times New Roman"/>
          <w:snapToGrid w:val="0"/>
          <w:sz w:val="24"/>
          <w:szCs w:val="24"/>
        </w:rPr>
        <w:t xml:space="preserve">To the extent that these provisions are to be ‘fixed by law,’ this Committee is tasked with making recommendations which have the force of law and supersede </w:t>
      </w:r>
      <w:r w:rsidR="00912C50">
        <w:rPr>
          <w:rFonts w:ascii="Times New Roman" w:eastAsia="Times New Roman" w:hAnsi="Times New Roman" w:cs="Times New Roman"/>
          <w:snapToGrid w:val="0"/>
          <w:sz w:val="24"/>
          <w:szCs w:val="24"/>
        </w:rPr>
        <w:lastRenderedPageBreak/>
        <w:t>existing law.  The Committee takes this important responsibility very seriously and is guided and constrained by the provisions of Part HHH.”</w:t>
      </w:r>
    </w:p>
    <w:p w14:paraId="410D4618"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3546D7F1" w14:textId="580C2DE0" w:rsidR="00912C50" w:rsidRDefault="00977C59"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In other words, </w:t>
      </w:r>
      <w:r w:rsidR="00E9672F">
        <w:rPr>
          <w:rFonts w:ascii="Times New Roman" w:eastAsia="Times New Roman" w:hAnsi="Times New Roman" w:cs="Times New Roman"/>
          <w:snapToGrid w:val="0"/>
          <w:sz w:val="24"/>
          <w:szCs w:val="24"/>
        </w:rPr>
        <w:t>without any discussion of the meaning “fixed by law”</w:t>
      </w:r>
      <w:r w:rsidR="008654BD">
        <w:rPr>
          <w:rFonts w:ascii="Times New Roman" w:eastAsia="Times New Roman" w:hAnsi="Times New Roman" w:cs="Times New Roman"/>
          <w:snapToGrid w:val="0"/>
          <w:sz w:val="24"/>
          <w:szCs w:val="24"/>
        </w:rPr>
        <w:t>, or citation to where in Article III and Article IV such phrase appears</w:t>
      </w:r>
      <w:r w:rsidR="00E9672F">
        <w:rPr>
          <w:rFonts w:ascii="Times New Roman" w:eastAsia="Times New Roman" w:hAnsi="Times New Roman" w:cs="Times New Roman"/>
          <w:snapToGrid w:val="0"/>
          <w:sz w:val="24"/>
          <w:szCs w:val="24"/>
        </w:rPr>
        <w:t xml:space="preserve">, this paragraph purports that it can mean fixed by </w:t>
      </w:r>
      <w:r w:rsidR="00912C50">
        <w:rPr>
          <w:rFonts w:ascii="Times New Roman" w:eastAsia="Times New Roman" w:hAnsi="Times New Roman" w:cs="Times New Roman"/>
          <w:snapToGrid w:val="0"/>
          <w:sz w:val="24"/>
          <w:szCs w:val="24"/>
        </w:rPr>
        <w:t xml:space="preserve">a committee whose “force of law” recommendations will “supersede existing law”.  </w:t>
      </w:r>
      <w:r w:rsidR="00DE4551">
        <w:rPr>
          <w:rFonts w:ascii="Times New Roman" w:eastAsia="Times New Roman" w:hAnsi="Times New Roman" w:cs="Times New Roman"/>
          <w:snapToGrid w:val="0"/>
          <w:sz w:val="24"/>
          <w:szCs w:val="24"/>
        </w:rPr>
        <w:t xml:space="preserve">It offers </w:t>
      </w:r>
      <w:r w:rsidR="007A7F7C">
        <w:rPr>
          <w:rFonts w:ascii="Times New Roman" w:eastAsia="Times New Roman" w:hAnsi="Times New Roman" w:cs="Times New Roman"/>
          <w:snapToGrid w:val="0"/>
          <w:sz w:val="24"/>
          <w:szCs w:val="24"/>
        </w:rPr>
        <w:t xml:space="preserve">up </w:t>
      </w:r>
      <w:r w:rsidR="00912C50">
        <w:rPr>
          <w:rFonts w:ascii="Times New Roman" w:eastAsia="Times New Roman" w:hAnsi="Times New Roman" w:cs="Times New Roman"/>
          <w:snapToGrid w:val="0"/>
          <w:sz w:val="24"/>
          <w:szCs w:val="24"/>
        </w:rPr>
        <w:t xml:space="preserve">ZERO legal authority for </w:t>
      </w:r>
      <w:r w:rsidR="007A7F7C">
        <w:rPr>
          <w:rFonts w:ascii="Times New Roman" w:eastAsia="Times New Roman" w:hAnsi="Times New Roman" w:cs="Times New Roman"/>
          <w:snapToGrid w:val="0"/>
          <w:sz w:val="24"/>
          <w:szCs w:val="24"/>
        </w:rPr>
        <w:t xml:space="preserve">the bald proposition, which it implies, </w:t>
      </w:r>
      <w:r w:rsidR="00912C50">
        <w:rPr>
          <w:rFonts w:ascii="Times New Roman" w:eastAsia="Times New Roman" w:hAnsi="Times New Roman" w:cs="Times New Roman"/>
          <w:snapToGrid w:val="0"/>
          <w:sz w:val="24"/>
          <w:szCs w:val="24"/>
        </w:rPr>
        <w:t xml:space="preserve">that </w:t>
      </w:r>
      <w:r w:rsidR="00DE70C8">
        <w:rPr>
          <w:rFonts w:ascii="Times New Roman" w:eastAsia="Times New Roman" w:hAnsi="Times New Roman" w:cs="Times New Roman"/>
          <w:snapToGrid w:val="0"/>
          <w:sz w:val="24"/>
          <w:szCs w:val="24"/>
        </w:rPr>
        <w:t xml:space="preserve">the </w:t>
      </w:r>
      <w:r w:rsidR="00DA6512">
        <w:rPr>
          <w:rFonts w:ascii="Times New Roman" w:eastAsia="Times New Roman" w:hAnsi="Times New Roman" w:cs="Times New Roman"/>
          <w:snapToGrid w:val="0"/>
          <w:sz w:val="24"/>
          <w:szCs w:val="24"/>
        </w:rPr>
        <w:t>L</w:t>
      </w:r>
      <w:r w:rsidR="00DE70C8">
        <w:rPr>
          <w:rFonts w:ascii="Times New Roman" w:eastAsia="Times New Roman" w:hAnsi="Times New Roman" w:cs="Times New Roman"/>
          <w:snapToGrid w:val="0"/>
          <w:sz w:val="24"/>
          <w:szCs w:val="24"/>
        </w:rPr>
        <w:t xml:space="preserve">egislature can delegate the constitutional duty to fix compensation to a committee. </w:t>
      </w:r>
      <w:r w:rsidR="00912C50">
        <w:rPr>
          <w:rFonts w:ascii="Times New Roman" w:eastAsia="Times New Roman" w:hAnsi="Times New Roman" w:cs="Times New Roman"/>
          <w:snapToGrid w:val="0"/>
          <w:sz w:val="24"/>
          <w:szCs w:val="24"/>
        </w:rPr>
        <w:t xml:space="preserve"> Th</w:t>
      </w:r>
      <w:r w:rsidR="007A7F7C">
        <w:rPr>
          <w:rFonts w:ascii="Times New Roman" w:eastAsia="Times New Roman" w:hAnsi="Times New Roman" w:cs="Times New Roman"/>
          <w:snapToGrid w:val="0"/>
          <w:sz w:val="24"/>
          <w:szCs w:val="24"/>
        </w:rPr>
        <w:t xml:space="preserve">at it cannot was </w:t>
      </w:r>
      <w:r w:rsidR="00912C50">
        <w:rPr>
          <w:rFonts w:ascii="Times New Roman" w:eastAsia="Times New Roman" w:hAnsi="Times New Roman" w:cs="Times New Roman"/>
          <w:snapToGrid w:val="0"/>
          <w:sz w:val="24"/>
          <w:szCs w:val="24"/>
        </w:rPr>
        <w:t>summed up by Robert Schulz, testifying at the November 28</w:t>
      </w:r>
      <w:r w:rsidR="008654BD">
        <w:rPr>
          <w:rFonts w:ascii="Times New Roman" w:eastAsia="Times New Roman" w:hAnsi="Times New Roman" w:cs="Times New Roman"/>
          <w:snapToGrid w:val="0"/>
          <w:sz w:val="24"/>
          <w:szCs w:val="24"/>
        </w:rPr>
        <w:t>, 2018</w:t>
      </w:r>
      <w:r w:rsidR="00912C50">
        <w:rPr>
          <w:rFonts w:ascii="Times New Roman" w:eastAsia="Times New Roman" w:hAnsi="Times New Roman" w:cs="Times New Roman"/>
          <w:snapToGrid w:val="0"/>
          <w:sz w:val="24"/>
          <w:szCs w:val="24"/>
        </w:rPr>
        <w:t xml:space="preserve"> hearing, and by James Coll, testifying at the November 30, 2018 hearing – and further particularized </w:t>
      </w:r>
      <w:r w:rsidR="008654BD">
        <w:rPr>
          <w:rFonts w:ascii="Times New Roman" w:eastAsia="Times New Roman" w:hAnsi="Times New Roman" w:cs="Times New Roman"/>
          <w:snapToGrid w:val="0"/>
          <w:sz w:val="24"/>
          <w:szCs w:val="24"/>
        </w:rPr>
        <w:t xml:space="preserve">and established </w:t>
      </w:r>
      <w:r w:rsidR="00912C50">
        <w:rPr>
          <w:rFonts w:ascii="Times New Roman" w:eastAsia="Times New Roman" w:hAnsi="Times New Roman" w:cs="Times New Roman"/>
          <w:snapToGrid w:val="0"/>
          <w:sz w:val="24"/>
          <w:szCs w:val="24"/>
        </w:rPr>
        <w:t xml:space="preserve">by the </w:t>
      </w:r>
      <w:r w:rsidR="008654BD">
        <w:rPr>
          <w:rFonts w:ascii="Times New Roman" w:eastAsia="Times New Roman" w:hAnsi="Times New Roman" w:cs="Times New Roman"/>
          <w:snapToGrid w:val="0"/>
          <w:sz w:val="24"/>
          <w:szCs w:val="24"/>
        </w:rPr>
        <w:t xml:space="preserve">record of the </w:t>
      </w:r>
      <w:r w:rsidR="00912C50">
        <w:rPr>
          <w:rFonts w:ascii="Times New Roman" w:eastAsia="Times New Roman" w:hAnsi="Times New Roman" w:cs="Times New Roman"/>
          <w:snapToGrid w:val="0"/>
          <w:sz w:val="24"/>
          <w:szCs w:val="24"/>
        </w:rPr>
        <w:t xml:space="preserve">sixth cause of action </w:t>
      </w:r>
      <w:r w:rsidR="007A7F7C">
        <w:rPr>
          <w:rFonts w:ascii="Times New Roman" w:eastAsia="Times New Roman" w:hAnsi="Times New Roman" w:cs="Times New Roman"/>
          <w:snapToGrid w:val="0"/>
          <w:sz w:val="24"/>
          <w:szCs w:val="24"/>
        </w:rPr>
        <w:t>(S</w:t>
      </w:r>
      <w:r w:rsidR="00D625CD">
        <w:rPr>
          <w:rFonts w:ascii="Times New Roman" w:eastAsia="Times New Roman" w:hAnsi="Times New Roman" w:cs="Times New Roman"/>
          <w:snapToGrid w:val="0"/>
          <w:sz w:val="24"/>
          <w:szCs w:val="24"/>
        </w:rPr>
        <w:t>ections</w:t>
      </w:r>
      <w:r w:rsidR="007A7F7C">
        <w:rPr>
          <w:rFonts w:ascii="Times New Roman" w:eastAsia="Times New Roman" w:hAnsi="Times New Roman" w:cs="Times New Roman"/>
          <w:snapToGrid w:val="0"/>
          <w:sz w:val="24"/>
          <w:szCs w:val="24"/>
        </w:rPr>
        <w:t xml:space="preserve"> A &amp; B) </w:t>
      </w:r>
      <w:r w:rsidR="008654BD">
        <w:rPr>
          <w:rFonts w:ascii="Times New Roman" w:eastAsia="Times New Roman" w:hAnsi="Times New Roman" w:cs="Times New Roman"/>
          <w:snapToGrid w:val="0"/>
          <w:sz w:val="24"/>
          <w:szCs w:val="24"/>
        </w:rPr>
        <w:t xml:space="preserve">of CJA’s </w:t>
      </w:r>
      <w:r w:rsidR="00912C50">
        <w:rPr>
          <w:rFonts w:ascii="Times New Roman" w:eastAsia="Times New Roman" w:hAnsi="Times New Roman" w:cs="Times New Roman"/>
          <w:snapToGrid w:val="0"/>
          <w:sz w:val="24"/>
          <w:szCs w:val="24"/>
        </w:rPr>
        <w:t>second citizen-taxpayer</w:t>
      </w:r>
      <w:r w:rsidR="008654BD">
        <w:rPr>
          <w:rFonts w:ascii="Times New Roman" w:eastAsia="Times New Roman" w:hAnsi="Times New Roman" w:cs="Times New Roman"/>
          <w:snapToGrid w:val="0"/>
          <w:sz w:val="24"/>
          <w:szCs w:val="24"/>
        </w:rPr>
        <w:t xml:space="preserve">, furnished by </w:t>
      </w:r>
      <w:r w:rsidR="00B24AE3">
        <w:rPr>
          <w:rFonts w:ascii="Times New Roman" w:eastAsia="Times New Roman" w:hAnsi="Times New Roman" w:cs="Times New Roman"/>
          <w:snapToGrid w:val="0"/>
          <w:sz w:val="24"/>
          <w:szCs w:val="24"/>
        </w:rPr>
        <w:t xml:space="preserve">CJA director </w:t>
      </w:r>
      <w:r w:rsidR="008654BD">
        <w:rPr>
          <w:rFonts w:ascii="Times New Roman" w:eastAsia="Times New Roman" w:hAnsi="Times New Roman" w:cs="Times New Roman"/>
          <w:snapToGrid w:val="0"/>
          <w:sz w:val="24"/>
          <w:szCs w:val="24"/>
        </w:rPr>
        <w:t>Sassower in testifying</w:t>
      </w:r>
      <w:r w:rsidR="00912C50">
        <w:rPr>
          <w:rFonts w:ascii="Times New Roman" w:eastAsia="Times New Roman" w:hAnsi="Times New Roman" w:cs="Times New Roman"/>
          <w:snapToGrid w:val="0"/>
          <w:sz w:val="24"/>
          <w:szCs w:val="24"/>
        </w:rPr>
        <w:t xml:space="preserve"> </w:t>
      </w:r>
      <w:r w:rsidR="008654BD">
        <w:rPr>
          <w:rFonts w:ascii="Times New Roman" w:eastAsia="Times New Roman" w:hAnsi="Times New Roman" w:cs="Times New Roman"/>
          <w:snapToGrid w:val="0"/>
          <w:sz w:val="24"/>
          <w:szCs w:val="24"/>
        </w:rPr>
        <w:t xml:space="preserve">on November 30, 2018. </w:t>
      </w:r>
      <w:r w:rsidR="00912C50">
        <w:rPr>
          <w:rFonts w:ascii="Times New Roman" w:eastAsia="Times New Roman" w:hAnsi="Times New Roman" w:cs="Times New Roman"/>
          <w:snapToGrid w:val="0"/>
          <w:sz w:val="24"/>
          <w:szCs w:val="24"/>
        </w:rPr>
        <w:t xml:space="preserve"> </w:t>
      </w:r>
    </w:p>
    <w:p w14:paraId="79D70E7E"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4A53DEBA" w14:textId="56EE0E13" w:rsidR="00912C50" w:rsidRDefault="00912C50"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As for the </w:t>
      </w:r>
      <w:r w:rsidR="005D0ADE">
        <w:rPr>
          <w:rFonts w:ascii="Times New Roman" w:eastAsia="Times New Roman" w:hAnsi="Times New Roman" w:cs="Times New Roman"/>
          <w:snapToGrid w:val="0"/>
          <w:sz w:val="24"/>
          <w:szCs w:val="24"/>
        </w:rPr>
        <w:t xml:space="preserve">bald </w:t>
      </w:r>
      <w:r>
        <w:rPr>
          <w:rFonts w:ascii="Times New Roman" w:eastAsia="Times New Roman" w:hAnsi="Times New Roman" w:cs="Times New Roman"/>
          <w:snapToGrid w:val="0"/>
          <w:sz w:val="24"/>
          <w:szCs w:val="24"/>
        </w:rPr>
        <w:t xml:space="preserve">assertion that </w:t>
      </w:r>
      <w:r w:rsidR="00E9672F">
        <w:rPr>
          <w:rFonts w:ascii="Times New Roman" w:eastAsia="Times New Roman" w:hAnsi="Times New Roman" w:cs="Times New Roman"/>
          <w:snapToGrid w:val="0"/>
          <w:sz w:val="24"/>
          <w:szCs w:val="24"/>
        </w:rPr>
        <w:t>the Committee</w:t>
      </w:r>
      <w:r>
        <w:rPr>
          <w:rFonts w:ascii="Times New Roman" w:eastAsia="Times New Roman" w:hAnsi="Times New Roman" w:cs="Times New Roman"/>
          <w:snapToGrid w:val="0"/>
          <w:sz w:val="24"/>
          <w:szCs w:val="24"/>
        </w:rPr>
        <w:t xml:space="preserve"> “takes this important responsibility very seriously and is guided and constrained by the provisions of Part HHH”, </w:t>
      </w:r>
      <w:r w:rsidR="00E9672F">
        <w:rPr>
          <w:rFonts w:ascii="Times New Roman" w:eastAsia="Times New Roman" w:hAnsi="Times New Roman" w:cs="Times New Roman"/>
          <w:snapToGrid w:val="0"/>
          <w:sz w:val="24"/>
          <w:szCs w:val="24"/>
        </w:rPr>
        <w:t xml:space="preserve">this </w:t>
      </w:r>
      <w:r>
        <w:rPr>
          <w:rFonts w:ascii="Times New Roman" w:eastAsia="Times New Roman" w:hAnsi="Times New Roman" w:cs="Times New Roman"/>
          <w:snapToGrid w:val="0"/>
          <w:sz w:val="24"/>
          <w:szCs w:val="24"/>
        </w:rPr>
        <w:t>pretense is essential to upholding the constitutionality of what is unconstitutional</w:t>
      </w:r>
      <w:r w:rsidR="00DE70C8">
        <w:rPr>
          <w:rFonts w:ascii="Times New Roman" w:eastAsia="Times New Roman" w:hAnsi="Times New Roman" w:cs="Times New Roman"/>
          <w:snapToGrid w:val="0"/>
          <w:sz w:val="24"/>
          <w:szCs w:val="24"/>
        </w:rPr>
        <w:t xml:space="preserve"> – and such pretense is utterly false</w:t>
      </w:r>
      <w:r w:rsidR="00395319">
        <w:rPr>
          <w:rFonts w:ascii="Times New Roman" w:eastAsia="Times New Roman" w:hAnsi="Times New Roman" w:cs="Times New Roman"/>
          <w:snapToGrid w:val="0"/>
          <w:sz w:val="24"/>
          <w:szCs w:val="24"/>
        </w:rPr>
        <w:t>, so-proven by the Committee</w:t>
      </w:r>
      <w:r w:rsidR="00DA6512">
        <w:rPr>
          <w:rFonts w:ascii="Times New Roman" w:eastAsia="Times New Roman" w:hAnsi="Times New Roman" w:cs="Times New Roman"/>
          <w:snapToGrid w:val="0"/>
          <w:sz w:val="24"/>
          <w:szCs w:val="24"/>
        </w:rPr>
        <w:t>’s conduct</w:t>
      </w:r>
      <w:r w:rsidR="00395319">
        <w:rPr>
          <w:rFonts w:ascii="Times New Roman" w:eastAsia="Times New Roman" w:hAnsi="Times New Roman" w:cs="Times New Roman"/>
          <w:snapToGrid w:val="0"/>
          <w:sz w:val="24"/>
          <w:szCs w:val="24"/>
        </w:rPr>
        <w:t xml:space="preserve">, </w:t>
      </w:r>
      <w:r w:rsidR="00926FD5">
        <w:rPr>
          <w:rFonts w:ascii="Times New Roman" w:eastAsia="Times New Roman" w:hAnsi="Times New Roman" w:cs="Times New Roman"/>
          <w:snapToGrid w:val="0"/>
          <w:sz w:val="24"/>
          <w:szCs w:val="24"/>
        </w:rPr>
        <w:t xml:space="preserve">from its belated first meeting on November 13, 2018 – nearly 7-1/2 months after </w:t>
      </w:r>
      <w:r w:rsidR="009D0F4E">
        <w:rPr>
          <w:rFonts w:ascii="Times New Roman" w:eastAsia="Times New Roman" w:hAnsi="Times New Roman" w:cs="Times New Roman"/>
          <w:snapToGrid w:val="0"/>
          <w:sz w:val="24"/>
          <w:szCs w:val="24"/>
        </w:rPr>
        <w:t>the Committee</w:t>
      </w:r>
      <w:r w:rsidR="00926FD5">
        <w:rPr>
          <w:rFonts w:ascii="Times New Roman" w:eastAsia="Times New Roman" w:hAnsi="Times New Roman" w:cs="Times New Roman"/>
          <w:snapToGrid w:val="0"/>
          <w:sz w:val="24"/>
          <w:szCs w:val="24"/>
        </w:rPr>
        <w:t xml:space="preserve"> was “established” by Part HHH – </w:t>
      </w:r>
      <w:r w:rsidR="00395319">
        <w:rPr>
          <w:rFonts w:ascii="Times New Roman" w:eastAsia="Times New Roman" w:hAnsi="Times New Roman" w:cs="Times New Roman"/>
          <w:snapToGrid w:val="0"/>
          <w:sz w:val="24"/>
          <w:szCs w:val="24"/>
        </w:rPr>
        <w:t xml:space="preserve">culminating in </w:t>
      </w:r>
      <w:r w:rsidR="00DA6512">
        <w:rPr>
          <w:rFonts w:ascii="Times New Roman" w:eastAsia="Times New Roman" w:hAnsi="Times New Roman" w:cs="Times New Roman"/>
          <w:snapToGrid w:val="0"/>
          <w:sz w:val="24"/>
          <w:szCs w:val="24"/>
        </w:rPr>
        <w:t>its</w:t>
      </w:r>
      <w:r w:rsidR="00395319">
        <w:rPr>
          <w:rFonts w:ascii="Times New Roman" w:eastAsia="Times New Roman" w:hAnsi="Times New Roman" w:cs="Times New Roman"/>
          <w:snapToGrid w:val="0"/>
          <w:sz w:val="24"/>
          <w:szCs w:val="24"/>
        </w:rPr>
        <w:t xml:space="preserve"> flimsy, fraudulent </w:t>
      </w:r>
      <w:r w:rsidR="00DA6512">
        <w:rPr>
          <w:rFonts w:ascii="Times New Roman" w:eastAsia="Times New Roman" w:hAnsi="Times New Roman" w:cs="Times New Roman"/>
          <w:snapToGrid w:val="0"/>
          <w:sz w:val="24"/>
          <w:szCs w:val="24"/>
        </w:rPr>
        <w:t>December 10, 2018 R</w:t>
      </w:r>
      <w:r w:rsidR="00395319">
        <w:rPr>
          <w:rFonts w:ascii="Times New Roman" w:eastAsia="Times New Roman" w:hAnsi="Times New Roman" w:cs="Times New Roman"/>
          <w:snapToGrid w:val="0"/>
          <w:sz w:val="24"/>
          <w:szCs w:val="24"/>
        </w:rPr>
        <w:t>eport</w:t>
      </w:r>
      <w:r>
        <w:rPr>
          <w:rFonts w:ascii="Times New Roman" w:eastAsia="Times New Roman" w:hAnsi="Times New Roman" w:cs="Times New Roman"/>
          <w:snapToGrid w:val="0"/>
          <w:sz w:val="24"/>
          <w:szCs w:val="24"/>
        </w:rPr>
        <w:t>.</w:t>
      </w:r>
    </w:p>
    <w:p w14:paraId="0E944F3A"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6AB02CC0" w14:textId="5612FBAB" w:rsidR="00912C50" w:rsidRDefault="007A7F7C"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section then proceeds to recit</w:t>
      </w:r>
      <w:r w:rsidR="00810426">
        <w:rPr>
          <w:rFonts w:ascii="Times New Roman" w:eastAsia="Times New Roman" w:hAnsi="Times New Roman" w:cs="Times New Roman"/>
          <w:snapToGrid w:val="0"/>
          <w:sz w:val="24"/>
          <w:szCs w:val="24"/>
        </w:rPr>
        <w:t>e</w:t>
      </w:r>
      <w:r>
        <w:rPr>
          <w:rFonts w:ascii="Times New Roman" w:eastAsia="Times New Roman" w:hAnsi="Times New Roman" w:cs="Times New Roman"/>
          <w:snapToGrid w:val="0"/>
          <w:sz w:val="24"/>
          <w:szCs w:val="24"/>
        </w:rPr>
        <w:t xml:space="preserve">, </w:t>
      </w:r>
      <w:r w:rsidR="00912C50">
        <w:rPr>
          <w:rFonts w:ascii="Times New Roman" w:eastAsia="Times New Roman" w:hAnsi="Times New Roman" w:cs="Times New Roman"/>
          <w:snapToGrid w:val="0"/>
          <w:sz w:val="24"/>
          <w:szCs w:val="24"/>
        </w:rPr>
        <w:t>by a combination of quote</w:t>
      </w:r>
      <w:r>
        <w:rPr>
          <w:rFonts w:ascii="Times New Roman" w:eastAsia="Times New Roman" w:hAnsi="Times New Roman" w:cs="Times New Roman"/>
          <w:snapToGrid w:val="0"/>
          <w:sz w:val="24"/>
          <w:szCs w:val="24"/>
        </w:rPr>
        <w:t>s</w:t>
      </w:r>
      <w:r w:rsidR="00912C50">
        <w:rPr>
          <w:rFonts w:ascii="Times New Roman" w:eastAsia="Times New Roman" w:hAnsi="Times New Roman" w:cs="Times New Roman"/>
          <w:snapToGrid w:val="0"/>
          <w:sz w:val="24"/>
          <w:szCs w:val="24"/>
        </w:rPr>
        <w:t xml:space="preserve"> and paraphrase from </w:t>
      </w:r>
      <w:r w:rsidR="00DA6512">
        <w:rPr>
          <w:rFonts w:ascii="Times New Roman" w:eastAsia="Times New Roman" w:hAnsi="Times New Roman" w:cs="Times New Roman"/>
          <w:snapToGrid w:val="0"/>
          <w:sz w:val="24"/>
          <w:szCs w:val="24"/>
        </w:rPr>
        <w:t>Part HHH</w:t>
      </w:r>
      <w:r w:rsidR="00912C50">
        <w:rPr>
          <w:rFonts w:ascii="Times New Roman" w:eastAsia="Times New Roman" w:hAnsi="Times New Roman" w:cs="Times New Roman"/>
          <w:snapToGrid w:val="0"/>
          <w:sz w:val="24"/>
          <w:szCs w:val="24"/>
        </w:rPr>
        <w:t xml:space="preserve">, what it purports </w:t>
      </w:r>
      <w:r>
        <w:rPr>
          <w:rFonts w:ascii="Times New Roman" w:eastAsia="Times New Roman" w:hAnsi="Times New Roman" w:cs="Times New Roman"/>
          <w:snapToGrid w:val="0"/>
          <w:sz w:val="24"/>
          <w:szCs w:val="24"/>
        </w:rPr>
        <w:t xml:space="preserve">(at p. 7) </w:t>
      </w:r>
      <w:r w:rsidR="00912C50">
        <w:rPr>
          <w:rFonts w:ascii="Times New Roman" w:eastAsia="Times New Roman" w:hAnsi="Times New Roman" w:cs="Times New Roman"/>
          <w:snapToGrid w:val="0"/>
          <w:sz w:val="24"/>
          <w:szCs w:val="24"/>
        </w:rPr>
        <w:t>to be “Most relevant to our charge”.</w:t>
      </w:r>
    </w:p>
    <w:p w14:paraId="03B1A2F0"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37EB0074" w14:textId="50DCA9B0" w:rsidR="003A2101" w:rsidRDefault="002D699E"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It begins by </w:t>
      </w:r>
      <w:r w:rsidR="00543EF5">
        <w:rPr>
          <w:rFonts w:ascii="Times New Roman" w:eastAsia="Times New Roman" w:hAnsi="Times New Roman" w:cs="Times New Roman"/>
          <w:snapToGrid w:val="0"/>
          <w:sz w:val="24"/>
          <w:szCs w:val="24"/>
        </w:rPr>
        <w:t xml:space="preserve">now quoting, </w:t>
      </w:r>
      <w:r>
        <w:rPr>
          <w:rFonts w:ascii="Times New Roman" w:eastAsia="Times New Roman" w:hAnsi="Times New Roman" w:cs="Times New Roman"/>
          <w:snapToGrid w:val="0"/>
          <w:sz w:val="24"/>
          <w:szCs w:val="24"/>
        </w:rPr>
        <w:t>incompletely</w:t>
      </w:r>
      <w:r w:rsidR="00AC1FC9">
        <w:rPr>
          <w:rFonts w:ascii="Times New Roman" w:eastAsia="Times New Roman" w:hAnsi="Times New Roman" w:cs="Times New Roman"/>
          <w:snapToGrid w:val="0"/>
          <w:sz w:val="24"/>
          <w:szCs w:val="24"/>
        </w:rPr>
        <w:t xml:space="preserve">, </w:t>
      </w:r>
      <w:r w:rsidR="00912C50" w:rsidRPr="00D00FEB">
        <w:rPr>
          <w:rFonts w:ascii="Times New Roman" w:eastAsia="Times New Roman" w:hAnsi="Times New Roman" w:cs="Times New Roman"/>
          <w:snapToGrid w:val="0"/>
          <w:sz w:val="24"/>
          <w:szCs w:val="24"/>
        </w:rPr>
        <w:t>§</w:t>
      </w:r>
      <w:r w:rsidR="00912C50">
        <w:rPr>
          <w:rFonts w:ascii="Times New Roman" w:eastAsia="Times New Roman" w:hAnsi="Times New Roman" w:cs="Times New Roman"/>
          <w:snapToGrid w:val="0"/>
          <w:sz w:val="24"/>
          <w:szCs w:val="24"/>
        </w:rPr>
        <w:t xml:space="preserve">1: “To ‘make recommendations with respect to </w:t>
      </w:r>
      <w:r w:rsidR="00912C50" w:rsidRPr="00D00FEB">
        <w:rPr>
          <w:rFonts w:ascii="Times New Roman" w:eastAsia="Times New Roman" w:hAnsi="Times New Roman" w:cs="Times New Roman"/>
          <w:b/>
          <w:snapToGrid w:val="0"/>
          <w:sz w:val="24"/>
          <w:szCs w:val="24"/>
        </w:rPr>
        <w:t>adequate levels of compensation, non-salary benefits, and allowances</w:t>
      </w:r>
      <w:r w:rsidR="00912C50">
        <w:rPr>
          <w:rFonts w:ascii="Times New Roman" w:eastAsia="Times New Roman" w:hAnsi="Times New Roman" w:cs="Times New Roman"/>
          <w:snapToGrid w:val="0"/>
          <w:sz w:val="24"/>
          <w:szCs w:val="24"/>
        </w:rPr>
        <w:t xml:space="preserve"> pursuant to section 5-a of the legislative law, for members of the legislature, statewide elected officials, and those state officers referred to in section 169 of the executive law.’</w:t>
      </w:r>
      <w:r w:rsidR="0042670F">
        <w:rPr>
          <w:rFonts w:ascii="Times New Roman" w:eastAsia="Times New Roman" w:hAnsi="Times New Roman" w:cs="Times New Roman"/>
          <w:snapToGrid w:val="0"/>
          <w:sz w:val="24"/>
          <w:szCs w:val="24"/>
        </w:rPr>
        <w:t>”, as to which it states “</w:t>
      </w:r>
      <w:r w:rsidR="00912C50">
        <w:rPr>
          <w:rFonts w:ascii="Times New Roman" w:eastAsia="Times New Roman" w:hAnsi="Times New Roman" w:cs="Times New Roman"/>
          <w:snapToGrid w:val="0"/>
          <w:sz w:val="24"/>
          <w:szCs w:val="24"/>
        </w:rPr>
        <w:t xml:space="preserve">(See, Part HHH at </w:t>
      </w:r>
      <w:r w:rsidR="00912C50" w:rsidRPr="00D00FEB">
        <w:rPr>
          <w:rFonts w:ascii="Times New Roman" w:eastAsia="Times New Roman" w:hAnsi="Times New Roman" w:cs="Times New Roman"/>
          <w:snapToGrid w:val="0"/>
          <w:sz w:val="24"/>
          <w:szCs w:val="24"/>
        </w:rPr>
        <w:t>§</w:t>
      </w:r>
      <w:r w:rsidR="00912C50">
        <w:rPr>
          <w:rFonts w:ascii="Times New Roman" w:eastAsia="Times New Roman" w:hAnsi="Times New Roman" w:cs="Times New Roman"/>
          <w:snapToGrid w:val="0"/>
          <w:sz w:val="24"/>
          <w:szCs w:val="24"/>
        </w:rPr>
        <w:t>1 emphasis added).”</w:t>
      </w:r>
      <w:r>
        <w:rPr>
          <w:rFonts w:ascii="Times New Roman" w:eastAsia="Times New Roman" w:hAnsi="Times New Roman" w:cs="Times New Roman"/>
          <w:snapToGrid w:val="0"/>
          <w:sz w:val="24"/>
          <w:szCs w:val="24"/>
        </w:rPr>
        <w:t xml:space="preserve"> </w:t>
      </w:r>
      <w:r w:rsidR="003A2101">
        <w:rPr>
          <w:rFonts w:ascii="Times New Roman" w:eastAsia="Times New Roman" w:hAnsi="Times New Roman" w:cs="Times New Roman"/>
          <w:snapToGrid w:val="0"/>
          <w:sz w:val="24"/>
          <w:szCs w:val="24"/>
        </w:rPr>
        <w:t xml:space="preserve">  It does not identify why it has bolded</w:t>
      </w:r>
      <w:r w:rsidR="006C2C60">
        <w:rPr>
          <w:rFonts w:ascii="Times New Roman" w:eastAsia="Times New Roman" w:hAnsi="Times New Roman" w:cs="Times New Roman"/>
          <w:snapToGrid w:val="0"/>
          <w:sz w:val="24"/>
          <w:szCs w:val="24"/>
        </w:rPr>
        <w:t xml:space="preserve"> for emphasis</w:t>
      </w:r>
      <w:r w:rsidR="003A2101">
        <w:rPr>
          <w:rFonts w:ascii="Times New Roman" w:eastAsia="Times New Roman" w:hAnsi="Times New Roman" w:cs="Times New Roman"/>
          <w:snapToGrid w:val="0"/>
          <w:sz w:val="24"/>
          <w:szCs w:val="24"/>
        </w:rPr>
        <w:t xml:space="preserve"> the words “</w:t>
      </w:r>
      <w:r w:rsidR="003A2101" w:rsidRPr="00D625CD">
        <w:rPr>
          <w:rFonts w:ascii="Times New Roman" w:eastAsia="Times New Roman" w:hAnsi="Times New Roman" w:cs="Times New Roman"/>
          <w:b/>
          <w:snapToGrid w:val="0"/>
          <w:sz w:val="24"/>
          <w:szCs w:val="24"/>
        </w:rPr>
        <w:t>adequate levels of compensation, non-salary benefits, and allowances</w:t>
      </w:r>
      <w:r w:rsidR="003A2101">
        <w:rPr>
          <w:rFonts w:ascii="Times New Roman" w:eastAsia="Times New Roman" w:hAnsi="Times New Roman" w:cs="Times New Roman"/>
          <w:snapToGrid w:val="0"/>
          <w:sz w:val="24"/>
          <w:szCs w:val="24"/>
        </w:rPr>
        <w:t xml:space="preserve">” – but the inference is that it has adhered to this restriction to its “recommendations”, which is false.  </w:t>
      </w:r>
    </w:p>
    <w:p w14:paraId="1F8C5E06" w14:textId="77777777" w:rsidR="002D699E" w:rsidRDefault="002D699E" w:rsidP="00912C50">
      <w:pPr>
        <w:spacing w:after="0" w:line="240" w:lineRule="auto"/>
        <w:jc w:val="both"/>
        <w:rPr>
          <w:rFonts w:ascii="Times New Roman" w:eastAsia="Times New Roman" w:hAnsi="Times New Roman" w:cs="Times New Roman"/>
          <w:snapToGrid w:val="0"/>
          <w:sz w:val="24"/>
          <w:szCs w:val="24"/>
        </w:rPr>
      </w:pPr>
    </w:p>
    <w:p w14:paraId="1D66C102" w14:textId="0F4C0FED" w:rsidR="00D16D27" w:rsidRDefault="00AC1FC9"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It then s</w:t>
      </w:r>
      <w:r w:rsidR="002D699E">
        <w:rPr>
          <w:rFonts w:ascii="Times New Roman" w:eastAsia="Times New Roman" w:hAnsi="Times New Roman" w:cs="Times New Roman"/>
          <w:snapToGrid w:val="0"/>
          <w:sz w:val="24"/>
          <w:szCs w:val="24"/>
        </w:rPr>
        <w:t>kips</w:t>
      </w:r>
      <w:r>
        <w:rPr>
          <w:rFonts w:ascii="Times New Roman" w:eastAsia="Times New Roman" w:hAnsi="Times New Roman" w:cs="Times New Roman"/>
          <w:snapToGrid w:val="0"/>
          <w:sz w:val="24"/>
          <w:szCs w:val="24"/>
        </w:rPr>
        <w:t>, as “Most relevant to our charge”</w:t>
      </w:r>
      <w:r w:rsidR="00810426">
        <w:rPr>
          <w:rFonts w:ascii="Times New Roman" w:eastAsia="Times New Roman" w:hAnsi="Times New Roman" w:cs="Times New Roman"/>
          <w:snapToGrid w:val="0"/>
          <w:sz w:val="24"/>
          <w:szCs w:val="24"/>
        </w:rPr>
        <w:t>,</w:t>
      </w:r>
      <w:r w:rsidR="002D699E">
        <w:rPr>
          <w:rFonts w:ascii="Times New Roman" w:eastAsia="Times New Roman" w:hAnsi="Times New Roman" w:cs="Times New Roman"/>
          <w:snapToGrid w:val="0"/>
          <w:sz w:val="24"/>
          <w:szCs w:val="24"/>
        </w:rPr>
        <w:t xml:space="preserve"> </w:t>
      </w:r>
      <w:bookmarkStart w:id="3" w:name="_Hlk532280820"/>
      <w:r w:rsidR="002D699E" w:rsidRPr="00D00FEB">
        <w:rPr>
          <w:rFonts w:ascii="Times New Roman" w:eastAsia="Times New Roman" w:hAnsi="Times New Roman" w:cs="Times New Roman"/>
          <w:snapToGrid w:val="0"/>
          <w:sz w:val="24"/>
          <w:szCs w:val="24"/>
        </w:rPr>
        <w:t>§</w:t>
      </w:r>
      <w:bookmarkEnd w:id="3"/>
      <w:r w:rsidR="002D699E" w:rsidRPr="00D00FEB">
        <w:rPr>
          <w:rFonts w:ascii="Times New Roman" w:eastAsia="Times New Roman" w:hAnsi="Times New Roman" w:cs="Times New Roman"/>
          <w:snapToGrid w:val="0"/>
          <w:sz w:val="24"/>
          <w:szCs w:val="24"/>
        </w:rPr>
        <w:t>2</w:t>
      </w:r>
      <w:r w:rsidR="005D0ADE">
        <w:rPr>
          <w:rFonts w:ascii="Times New Roman" w:eastAsia="Times New Roman" w:hAnsi="Times New Roman" w:cs="Times New Roman"/>
          <w:snapToGrid w:val="0"/>
          <w:sz w:val="24"/>
          <w:szCs w:val="24"/>
        </w:rPr>
        <w:t>.</w:t>
      </w:r>
      <w:r w:rsidR="002D699E" w:rsidRPr="00D00FEB">
        <w:rPr>
          <w:rFonts w:ascii="Times New Roman" w:eastAsia="Times New Roman" w:hAnsi="Times New Roman" w:cs="Times New Roman"/>
          <w:snapToGrid w:val="0"/>
          <w:sz w:val="24"/>
          <w:szCs w:val="24"/>
        </w:rPr>
        <w:t>1</w:t>
      </w:r>
      <w:r w:rsidR="00395319">
        <w:rPr>
          <w:rFonts w:ascii="Times New Roman" w:eastAsia="Times New Roman" w:hAnsi="Times New Roman" w:cs="Times New Roman"/>
          <w:snapToGrid w:val="0"/>
          <w:sz w:val="24"/>
          <w:szCs w:val="24"/>
        </w:rPr>
        <w:t xml:space="preserve">, </w:t>
      </w:r>
      <w:r w:rsidR="00810426">
        <w:rPr>
          <w:rFonts w:ascii="Times New Roman" w:eastAsia="Times New Roman" w:hAnsi="Times New Roman" w:cs="Times New Roman"/>
          <w:snapToGrid w:val="0"/>
          <w:sz w:val="24"/>
          <w:szCs w:val="24"/>
        </w:rPr>
        <w:t xml:space="preserve">whose reiteration of </w:t>
      </w:r>
      <w:r w:rsidR="00277858">
        <w:rPr>
          <w:rFonts w:ascii="Times New Roman" w:eastAsia="Times New Roman" w:hAnsi="Times New Roman" w:cs="Times New Roman"/>
          <w:snapToGrid w:val="0"/>
          <w:sz w:val="24"/>
          <w:szCs w:val="24"/>
        </w:rPr>
        <w:t xml:space="preserve">the </w:t>
      </w:r>
      <w:r w:rsidR="005D0ADE">
        <w:rPr>
          <w:rFonts w:ascii="Times New Roman" w:eastAsia="Times New Roman" w:hAnsi="Times New Roman" w:cs="Times New Roman"/>
          <w:snapToGrid w:val="0"/>
          <w:sz w:val="24"/>
          <w:szCs w:val="24"/>
        </w:rPr>
        <w:t xml:space="preserve">“adequate levels” referred to by </w:t>
      </w:r>
      <w:r w:rsidR="005D0ADE" w:rsidRPr="00D00FEB">
        <w:rPr>
          <w:rFonts w:ascii="Times New Roman" w:eastAsia="Times New Roman" w:hAnsi="Times New Roman" w:cs="Times New Roman"/>
          <w:snapToGrid w:val="0"/>
          <w:sz w:val="24"/>
          <w:szCs w:val="24"/>
        </w:rPr>
        <w:t>§</w:t>
      </w:r>
      <w:r w:rsidR="005D0ADE">
        <w:rPr>
          <w:rFonts w:ascii="Times New Roman" w:eastAsia="Times New Roman" w:hAnsi="Times New Roman" w:cs="Times New Roman"/>
          <w:snapToGrid w:val="0"/>
          <w:sz w:val="24"/>
          <w:szCs w:val="24"/>
        </w:rPr>
        <w:t>1</w:t>
      </w:r>
      <w:r w:rsidR="00395319">
        <w:rPr>
          <w:rFonts w:ascii="Times New Roman" w:eastAsia="Times New Roman" w:hAnsi="Times New Roman" w:cs="Times New Roman"/>
          <w:snapToGrid w:val="0"/>
          <w:sz w:val="24"/>
          <w:szCs w:val="24"/>
        </w:rPr>
        <w:t xml:space="preserve">, </w:t>
      </w:r>
      <w:r w:rsidR="00810426">
        <w:rPr>
          <w:rFonts w:ascii="Times New Roman" w:eastAsia="Times New Roman" w:hAnsi="Times New Roman" w:cs="Times New Roman"/>
          <w:snapToGrid w:val="0"/>
          <w:sz w:val="24"/>
          <w:szCs w:val="24"/>
        </w:rPr>
        <w:t xml:space="preserve">is, </w:t>
      </w:r>
      <w:r w:rsidR="00395319">
        <w:rPr>
          <w:rFonts w:ascii="Times New Roman" w:eastAsia="Times New Roman" w:hAnsi="Times New Roman" w:cs="Times New Roman"/>
          <w:snapToGrid w:val="0"/>
          <w:sz w:val="24"/>
          <w:szCs w:val="24"/>
        </w:rPr>
        <w:t xml:space="preserve">as follows: </w:t>
      </w:r>
    </w:p>
    <w:p w14:paraId="0BF789AC" w14:textId="77777777" w:rsidR="00D16D27" w:rsidRDefault="002D699E"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p>
    <w:p w14:paraId="0DAF6E87" w14:textId="3329B484" w:rsidR="00D16D27" w:rsidRDefault="00D16D27" w:rsidP="00D16D27">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“In accordance with the provisions of this act, the committee shall </w:t>
      </w:r>
      <w:r w:rsidRPr="005D0ADE">
        <w:rPr>
          <w:rFonts w:ascii="Times New Roman" w:eastAsia="Times New Roman" w:hAnsi="Times New Roman" w:cs="Times New Roman"/>
          <w:snapToGrid w:val="0"/>
          <w:sz w:val="24"/>
          <w:szCs w:val="24"/>
        </w:rPr>
        <w:t>examine</w:t>
      </w:r>
      <w:r>
        <w:rPr>
          <w:rFonts w:ascii="Times New Roman" w:eastAsia="Times New Roman" w:hAnsi="Times New Roman" w:cs="Times New Roman"/>
          <w:snapToGrid w:val="0"/>
          <w:sz w:val="24"/>
          <w:szCs w:val="24"/>
        </w:rPr>
        <w:t xml:space="preserve"> the prevailing </w:t>
      </w:r>
      <w:r w:rsidRPr="00D16D27">
        <w:rPr>
          <w:rFonts w:ascii="Times New Roman" w:eastAsia="Times New Roman" w:hAnsi="Times New Roman" w:cs="Times New Roman"/>
          <w:snapToGrid w:val="0"/>
          <w:sz w:val="24"/>
          <w:szCs w:val="24"/>
          <w:u w:val="single"/>
        </w:rPr>
        <w:t>adequacy</w:t>
      </w:r>
      <w:r>
        <w:rPr>
          <w:rFonts w:ascii="Times New Roman" w:eastAsia="Times New Roman" w:hAnsi="Times New Roman" w:cs="Times New Roman"/>
          <w:snapToGrid w:val="0"/>
          <w:sz w:val="24"/>
          <w:szCs w:val="24"/>
        </w:rPr>
        <w:t xml:space="preserve"> of pay levels, allowances pursuant to section 5-a of the legislative law, and other non-salary benefits, for members of the legislature, statewide elected officials, and those state officers referred to in section 169 of the executive law.”</w:t>
      </w:r>
      <w:r w:rsidR="007A0FB5">
        <w:rPr>
          <w:rFonts w:ascii="Times New Roman" w:eastAsia="Times New Roman" w:hAnsi="Times New Roman" w:cs="Times New Roman"/>
          <w:snapToGrid w:val="0"/>
          <w:sz w:val="24"/>
          <w:szCs w:val="24"/>
        </w:rPr>
        <w:t xml:space="preserve">  (underlining added).</w:t>
      </w:r>
    </w:p>
    <w:p w14:paraId="05D380A2" w14:textId="1385FFAA" w:rsidR="00912C50" w:rsidRDefault="00912C50" w:rsidP="00912C50">
      <w:pPr>
        <w:spacing w:after="0" w:line="240" w:lineRule="auto"/>
        <w:jc w:val="both"/>
        <w:rPr>
          <w:rFonts w:ascii="Times New Roman" w:eastAsia="Times New Roman" w:hAnsi="Times New Roman" w:cs="Times New Roman"/>
          <w:snapToGrid w:val="0"/>
          <w:sz w:val="24"/>
          <w:szCs w:val="24"/>
        </w:rPr>
      </w:pPr>
    </w:p>
    <w:p w14:paraId="00AA1813" w14:textId="4CE828AF" w:rsidR="0013023A" w:rsidRDefault="00EF6543"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And it </w:t>
      </w:r>
      <w:r w:rsidR="00277858">
        <w:rPr>
          <w:rFonts w:ascii="Times New Roman" w:eastAsia="Times New Roman" w:hAnsi="Times New Roman" w:cs="Times New Roman"/>
          <w:snapToGrid w:val="0"/>
          <w:sz w:val="24"/>
          <w:szCs w:val="24"/>
        </w:rPr>
        <w:t xml:space="preserve">also </w:t>
      </w:r>
      <w:r w:rsidR="0013023A">
        <w:rPr>
          <w:rFonts w:ascii="Times New Roman" w:eastAsia="Times New Roman" w:hAnsi="Times New Roman" w:cs="Times New Roman"/>
          <w:snapToGrid w:val="0"/>
          <w:sz w:val="24"/>
          <w:szCs w:val="24"/>
        </w:rPr>
        <w:t>skips</w:t>
      </w:r>
      <w:r w:rsidR="00AC1FC9">
        <w:rPr>
          <w:rFonts w:ascii="Times New Roman" w:eastAsia="Times New Roman" w:hAnsi="Times New Roman" w:cs="Times New Roman"/>
          <w:snapToGrid w:val="0"/>
          <w:sz w:val="24"/>
          <w:szCs w:val="24"/>
        </w:rPr>
        <w:t xml:space="preserve"> as “Most relevant to our charge”,</w:t>
      </w:r>
      <w:r w:rsidR="003A2101">
        <w:rPr>
          <w:rFonts w:ascii="Times New Roman" w:eastAsia="Times New Roman" w:hAnsi="Times New Roman" w:cs="Times New Roman"/>
          <w:snapToGrid w:val="0"/>
          <w:sz w:val="24"/>
          <w:szCs w:val="24"/>
        </w:rPr>
        <w:t xml:space="preserve"> </w:t>
      </w:r>
      <w:r w:rsidR="0013023A" w:rsidRPr="00D00FEB">
        <w:rPr>
          <w:rFonts w:ascii="Times New Roman" w:eastAsia="Times New Roman" w:hAnsi="Times New Roman" w:cs="Times New Roman"/>
          <w:snapToGrid w:val="0"/>
          <w:sz w:val="24"/>
          <w:szCs w:val="24"/>
        </w:rPr>
        <w:t>§</w:t>
      </w:r>
      <w:r w:rsidR="0013023A">
        <w:rPr>
          <w:rFonts w:ascii="Times New Roman" w:eastAsia="Times New Roman" w:hAnsi="Times New Roman" w:cs="Times New Roman"/>
          <w:snapToGrid w:val="0"/>
          <w:sz w:val="24"/>
          <w:szCs w:val="24"/>
        </w:rPr>
        <w:t>2</w:t>
      </w:r>
      <w:r w:rsidR="00FA5861">
        <w:rPr>
          <w:rFonts w:ascii="Times New Roman" w:eastAsia="Times New Roman" w:hAnsi="Times New Roman" w:cs="Times New Roman"/>
          <w:snapToGrid w:val="0"/>
          <w:sz w:val="24"/>
          <w:szCs w:val="24"/>
        </w:rPr>
        <w:t>.</w:t>
      </w:r>
      <w:r w:rsidR="0013023A">
        <w:rPr>
          <w:rFonts w:ascii="Times New Roman" w:eastAsia="Times New Roman" w:hAnsi="Times New Roman" w:cs="Times New Roman"/>
          <w:snapToGrid w:val="0"/>
          <w:sz w:val="24"/>
          <w:szCs w:val="24"/>
        </w:rPr>
        <w:t>2, which reads:</w:t>
      </w:r>
    </w:p>
    <w:p w14:paraId="3E2D41AA" w14:textId="77777777" w:rsidR="0013023A" w:rsidRDefault="0013023A" w:rsidP="00912C50">
      <w:pPr>
        <w:spacing w:after="0" w:line="240" w:lineRule="auto"/>
        <w:jc w:val="both"/>
        <w:rPr>
          <w:rFonts w:ascii="Times New Roman" w:eastAsia="Times New Roman" w:hAnsi="Times New Roman" w:cs="Times New Roman"/>
          <w:snapToGrid w:val="0"/>
          <w:sz w:val="24"/>
          <w:szCs w:val="24"/>
        </w:rPr>
      </w:pPr>
    </w:p>
    <w:p w14:paraId="784AE043" w14:textId="44628900" w:rsidR="0013023A" w:rsidRDefault="0013023A" w:rsidP="0013023A">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committee shall determine whether, on January 1, 2019, the </w:t>
      </w:r>
      <w:r w:rsidRPr="00691C8A">
        <w:rPr>
          <w:rFonts w:ascii="Times New Roman" w:eastAsia="Times New Roman" w:hAnsi="Times New Roman" w:cs="Times New Roman"/>
          <w:snapToGrid w:val="0"/>
          <w:sz w:val="24"/>
          <w:szCs w:val="24"/>
          <w:u w:val="single"/>
        </w:rPr>
        <w:t>annual salary and allowances</w:t>
      </w:r>
      <w:r>
        <w:rPr>
          <w:rFonts w:ascii="Times New Roman" w:eastAsia="Times New Roman" w:hAnsi="Times New Roman" w:cs="Times New Roman"/>
          <w:snapToGrid w:val="0"/>
          <w:sz w:val="24"/>
          <w:szCs w:val="24"/>
        </w:rPr>
        <w:t xml:space="preserve"> of members of the legislature, statewide elected officials, and </w:t>
      </w:r>
      <w:r w:rsidRPr="00691C8A">
        <w:rPr>
          <w:rFonts w:ascii="Times New Roman" w:eastAsia="Times New Roman" w:hAnsi="Times New Roman" w:cs="Times New Roman"/>
          <w:snapToGrid w:val="0"/>
          <w:sz w:val="24"/>
          <w:szCs w:val="24"/>
          <w:u w:val="single"/>
        </w:rPr>
        <w:t>salaries</w:t>
      </w:r>
      <w:r>
        <w:rPr>
          <w:rFonts w:ascii="Times New Roman" w:eastAsia="Times New Roman" w:hAnsi="Times New Roman" w:cs="Times New Roman"/>
          <w:snapToGrid w:val="0"/>
          <w:sz w:val="24"/>
          <w:szCs w:val="24"/>
        </w:rPr>
        <w:t xml:space="preserve"> of state officers referred to in section 169 of the executive </w:t>
      </w:r>
      <w:r w:rsidR="007467C3">
        <w:rPr>
          <w:rFonts w:ascii="Times New Roman" w:eastAsia="Times New Roman" w:hAnsi="Times New Roman" w:cs="Times New Roman"/>
          <w:snapToGrid w:val="0"/>
          <w:sz w:val="24"/>
          <w:szCs w:val="24"/>
        </w:rPr>
        <w:t>law, warrant an increase.</w:t>
      </w:r>
      <w:r>
        <w:rPr>
          <w:rFonts w:ascii="Times New Roman" w:eastAsia="Times New Roman" w:hAnsi="Times New Roman" w:cs="Times New Roman"/>
          <w:snapToGrid w:val="0"/>
          <w:sz w:val="24"/>
          <w:szCs w:val="24"/>
        </w:rPr>
        <w:t>”</w:t>
      </w:r>
    </w:p>
    <w:p w14:paraId="611F2834" w14:textId="77777777" w:rsidR="0013023A" w:rsidRDefault="0013023A" w:rsidP="00912C50">
      <w:pPr>
        <w:spacing w:after="0" w:line="240" w:lineRule="auto"/>
        <w:jc w:val="both"/>
        <w:rPr>
          <w:rFonts w:ascii="Times New Roman" w:eastAsia="Times New Roman" w:hAnsi="Times New Roman" w:cs="Times New Roman"/>
          <w:snapToGrid w:val="0"/>
          <w:sz w:val="24"/>
          <w:szCs w:val="24"/>
        </w:rPr>
      </w:pPr>
    </w:p>
    <w:p w14:paraId="5E9A9BAD" w14:textId="7758DA45" w:rsidR="00420544" w:rsidRDefault="0013023A" w:rsidP="0013023A">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Instead, </w:t>
      </w:r>
      <w:r w:rsidR="003A2101">
        <w:rPr>
          <w:rFonts w:ascii="Times New Roman" w:eastAsia="Times New Roman" w:hAnsi="Times New Roman" w:cs="Times New Roman"/>
          <w:snapToGrid w:val="0"/>
          <w:sz w:val="24"/>
          <w:szCs w:val="24"/>
        </w:rPr>
        <w:t xml:space="preserve">it </w:t>
      </w:r>
      <w:r>
        <w:rPr>
          <w:rFonts w:ascii="Times New Roman" w:eastAsia="Times New Roman" w:hAnsi="Times New Roman" w:cs="Times New Roman"/>
          <w:snapToGrid w:val="0"/>
          <w:sz w:val="24"/>
          <w:szCs w:val="24"/>
        </w:rPr>
        <w:t xml:space="preserve">leaps to </w:t>
      </w:r>
      <w:r w:rsidRPr="00D00FEB">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2</w:t>
      </w:r>
      <w:r w:rsidR="00FA5861">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3 – to which it does not cite – and which</w:t>
      </w:r>
      <w:r w:rsidR="00420544">
        <w:rPr>
          <w:rFonts w:ascii="Times New Roman" w:eastAsia="Times New Roman" w:hAnsi="Times New Roman" w:cs="Times New Roman"/>
          <w:snapToGrid w:val="0"/>
          <w:sz w:val="24"/>
          <w:szCs w:val="24"/>
        </w:rPr>
        <w:t xml:space="preserve"> it materially misrepresents</w:t>
      </w:r>
      <w:r w:rsidR="00B140BD">
        <w:rPr>
          <w:rFonts w:ascii="Times New Roman" w:eastAsia="Times New Roman" w:hAnsi="Times New Roman" w:cs="Times New Roman"/>
          <w:snapToGrid w:val="0"/>
          <w:sz w:val="24"/>
          <w:szCs w:val="24"/>
        </w:rPr>
        <w:t xml:space="preserve">, stating: </w:t>
      </w:r>
    </w:p>
    <w:p w14:paraId="4F843848" w14:textId="77777777" w:rsidR="00420544" w:rsidRDefault="00420544" w:rsidP="0013023A">
      <w:pPr>
        <w:spacing w:after="0" w:line="240" w:lineRule="auto"/>
        <w:jc w:val="both"/>
        <w:rPr>
          <w:rFonts w:ascii="Times New Roman" w:eastAsia="Times New Roman" w:hAnsi="Times New Roman" w:cs="Times New Roman"/>
          <w:snapToGrid w:val="0"/>
          <w:sz w:val="24"/>
          <w:szCs w:val="24"/>
        </w:rPr>
      </w:pPr>
    </w:p>
    <w:p w14:paraId="20DA50E4" w14:textId="274877F4" w:rsidR="0013023A" w:rsidRDefault="0013023A" w:rsidP="0013023A">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r w:rsidRPr="007467C3">
        <w:rPr>
          <w:rFonts w:ascii="Times New Roman" w:eastAsia="Times New Roman" w:hAnsi="Times New Roman" w:cs="Times New Roman"/>
          <w:snapToGrid w:val="0"/>
          <w:sz w:val="24"/>
          <w:szCs w:val="24"/>
          <w:u w:val="single"/>
        </w:rPr>
        <w:t>We must determine whether on January 1, 2019 an increase in compensation is warranted, and the statute further provides that</w:t>
      </w:r>
      <w:r>
        <w:rPr>
          <w:rFonts w:ascii="Times New Roman" w:eastAsia="Times New Roman" w:hAnsi="Times New Roman" w:cs="Times New Roman"/>
          <w:snapToGrid w:val="0"/>
          <w:sz w:val="24"/>
          <w:szCs w:val="24"/>
        </w:rPr>
        <w:t xml:space="preserve"> the Committee shall </w:t>
      </w:r>
      <w:proofErr w:type="gramStart"/>
      <w:r>
        <w:rPr>
          <w:rFonts w:ascii="Times New Roman" w:eastAsia="Times New Roman" w:hAnsi="Times New Roman" w:cs="Times New Roman"/>
          <w:snapToGrid w:val="0"/>
          <w:sz w:val="24"/>
          <w:szCs w:val="24"/>
        </w:rPr>
        <w:t>take into account</w:t>
      </w:r>
      <w:proofErr w:type="gramEnd"/>
      <w:r>
        <w:rPr>
          <w:rFonts w:ascii="Times New Roman" w:eastAsia="Times New Roman" w:hAnsi="Times New Roman" w:cs="Times New Roman"/>
          <w:snapToGrid w:val="0"/>
          <w:sz w:val="24"/>
          <w:szCs w:val="24"/>
        </w:rPr>
        <w:t xml:space="preserve"> all appropriate factors, including, but not limited to:</w:t>
      </w:r>
    </w:p>
    <w:p w14:paraId="725DF472" w14:textId="77777777" w:rsidR="0013023A" w:rsidRDefault="0013023A" w:rsidP="0013023A">
      <w:pPr>
        <w:spacing w:after="0" w:line="240" w:lineRule="auto"/>
        <w:ind w:left="720" w:right="720"/>
        <w:jc w:val="both"/>
        <w:rPr>
          <w:rFonts w:ascii="Times New Roman" w:eastAsia="Times New Roman" w:hAnsi="Times New Roman" w:cs="Times New Roman"/>
          <w:snapToGrid w:val="0"/>
          <w:sz w:val="24"/>
          <w:szCs w:val="24"/>
        </w:rPr>
      </w:pPr>
    </w:p>
    <w:p w14:paraId="1977AD68"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parties’ performance and timely fulfillment of their statutory and Constitutional responsibilities;</w:t>
      </w:r>
    </w:p>
    <w:p w14:paraId="1F442927"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overall economic climate;</w:t>
      </w:r>
    </w:p>
    <w:p w14:paraId="14EB83C1"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rates of inflation;</w:t>
      </w:r>
    </w:p>
    <w:p w14:paraId="2A2A3AA3"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changes in public sector spending;</w:t>
      </w:r>
    </w:p>
    <w:p w14:paraId="3118498C"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levels of compensation and non-salary benefits received by executive branch officials and legislators of other states and of the federal government;</w:t>
      </w:r>
    </w:p>
    <w:p w14:paraId="0BCA3A88"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levels of compensation and non-salary benefits received by comparable professionals in government, academia and private and nonprofit enterprise;</w:t>
      </w:r>
    </w:p>
    <w:p w14:paraId="68342F7F"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ability to attract talent in competition with comparable private sector positions; and</w:t>
      </w:r>
    </w:p>
    <w:p w14:paraId="350F0EE7" w14:textId="77777777" w:rsidR="0013023A" w:rsidRDefault="0013023A" w:rsidP="00115DB1">
      <w:pPr>
        <w:pStyle w:val="ListParagraph"/>
        <w:numPr>
          <w:ilvl w:val="0"/>
          <w:numId w:val="8"/>
        </w:num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state’s ability to fund increases in compensation and non-salary benefits.”</w:t>
      </w:r>
    </w:p>
    <w:p w14:paraId="1DBB7FBF" w14:textId="77777777" w:rsidR="0013023A" w:rsidRPr="00F67388" w:rsidRDefault="0013023A" w:rsidP="0013023A">
      <w:pPr>
        <w:pStyle w:val="ListParagraph"/>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p>
    <w:p w14:paraId="7BA5291F" w14:textId="367DF425" w:rsidR="00E2341F" w:rsidRPr="00E2341F" w:rsidRDefault="00AF15C3" w:rsidP="00E2341F">
      <w:pPr>
        <w:spacing w:after="0" w:line="240" w:lineRule="auto"/>
        <w:jc w:val="both"/>
        <w:rPr>
          <w:rFonts w:ascii="Times New Roman" w:eastAsia="Times New Roman" w:hAnsi="Times New Roman" w:cs="Times New Roman"/>
          <w:snapToGrid w:val="0"/>
          <w:sz w:val="24"/>
          <w:szCs w:val="24"/>
        </w:rPr>
      </w:pPr>
      <w:r w:rsidRPr="006C2C60">
        <w:rPr>
          <w:rFonts w:ascii="Times New Roman" w:eastAsia="Times New Roman" w:hAnsi="Times New Roman" w:cs="Times New Roman"/>
          <w:snapToGrid w:val="0"/>
          <w:sz w:val="24"/>
          <w:szCs w:val="24"/>
          <w:u w:val="single"/>
        </w:rPr>
        <w:t>This is false.</w:t>
      </w:r>
      <w:r>
        <w:rPr>
          <w:rFonts w:ascii="Times New Roman" w:eastAsia="Times New Roman" w:hAnsi="Times New Roman" w:cs="Times New Roman"/>
          <w:snapToGrid w:val="0"/>
          <w:sz w:val="24"/>
          <w:szCs w:val="24"/>
        </w:rPr>
        <w:t xml:space="preserve">  The Committee is not charged with determining whether, on January 1, 2019, </w:t>
      </w:r>
      <w:r w:rsidR="00902D99">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an increase in compensation is warranted</w:t>
      </w:r>
      <w:r w:rsidR="00717F06">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but </w:t>
      </w:r>
      <w:r w:rsidR="00CA609F">
        <w:rPr>
          <w:rFonts w:ascii="Times New Roman" w:eastAsia="Times New Roman" w:hAnsi="Times New Roman" w:cs="Times New Roman"/>
          <w:snapToGrid w:val="0"/>
          <w:sz w:val="24"/>
          <w:szCs w:val="24"/>
        </w:rPr>
        <w:t xml:space="preserve">whether </w:t>
      </w:r>
      <w:r>
        <w:rPr>
          <w:rFonts w:ascii="Times New Roman" w:eastAsia="Times New Roman" w:hAnsi="Times New Roman" w:cs="Times New Roman"/>
          <w:snapToGrid w:val="0"/>
          <w:sz w:val="24"/>
          <w:szCs w:val="24"/>
        </w:rPr>
        <w:t xml:space="preserve">– as set forth in </w:t>
      </w:r>
      <w:r w:rsidR="00CA609F" w:rsidRPr="00D00FEB">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2.2 </w:t>
      </w:r>
      <w:r w:rsidR="00CA609F">
        <w:rPr>
          <w:rFonts w:ascii="Times New Roman" w:eastAsia="Times New Roman" w:hAnsi="Times New Roman" w:cs="Times New Roman"/>
          <w:snapToGrid w:val="0"/>
          <w:sz w:val="24"/>
          <w:szCs w:val="24"/>
        </w:rPr>
        <w:t xml:space="preserve">– </w:t>
      </w:r>
      <w:r w:rsidR="00E2341F">
        <w:rPr>
          <w:rFonts w:ascii="Times New Roman" w:eastAsia="Times New Roman" w:hAnsi="Times New Roman" w:cs="Times New Roman"/>
          <w:snapToGrid w:val="0"/>
          <w:sz w:val="24"/>
          <w:szCs w:val="24"/>
        </w:rPr>
        <w:t>“the annual salary and allowances of members of the legislature, statewide elected officials, and the salaries of state officers referred to in section 169 of the executive law, warrant an increase.”</w:t>
      </w:r>
      <w:r w:rsidR="00CA609F">
        <w:rPr>
          <w:rFonts w:ascii="Times New Roman" w:eastAsia="Times New Roman" w:hAnsi="Times New Roman" w:cs="Times New Roman"/>
          <w:snapToGrid w:val="0"/>
          <w:sz w:val="24"/>
          <w:szCs w:val="24"/>
        </w:rPr>
        <w:t xml:space="preserve">  It is for this purpose that it is to “take into account all appropriate factors”.</w:t>
      </w:r>
      <w:r w:rsidR="00E2341F" w:rsidRPr="00E2341F">
        <w:rPr>
          <w:rFonts w:ascii="Times New Roman" w:eastAsia="Times New Roman" w:hAnsi="Times New Roman" w:cs="Times New Roman"/>
          <w:snapToGrid w:val="0"/>
        </w:rPr>
        <w:t xml:space="preserve"> </w:t>
      </w:r>
      <w:r w:rsidR="00E2341F">
        <w:rPr>
          <w:rFonts w:ascii="Times New Roman" w:eastAsia="Times New Roman" w:hAnsi="Times New Roman" w:cs="Times New Roman"/>
          <w:snapToGrid w:val="0"/>
        </w:rPr>
        <w:t xml:space="preserve"> </w:t>
      </w:r>
      <w:r w:rsidR="00E2341F" w:rsidRPr="00E2341F">
        <w:rPr>
          <w:rFonts w:ascii="Times New Roman" w:eastAsia="Times New Roman" w:hAnsi="Times New Roman" w:cs="Times New Roman"/>
          <w:snapToGrid w:val="0"/>
          <w:sz w:val="24"/>
          <w:szCs w:val="24"/>
        </w:rPr>
        <w:t>Thus, the Committee’s charge is not the global, “holistic” assessment as to “whether on January 1, 2019 an increase in compensation is warranted” – which, later in the Report (at p. 18), the Committee will use as justification for its recommendations on outside income.</w:t>
      </w:r>
    </w:p>
    <w:p w14:paraId="399FCE74" w14:textId="3412E3C2" w:rsidR="00CA609F" w:rsidRDefault="00CA609F" w:rsidP="0013023A">
      <w:pPr>
        <w:spacing w:after="0" w:line="240" w:lineRule="auto"/>
        <w:jc w:val="both"/>
        <w:rPr>
          <w:rFonts w:ascii="Times New Roman" w:eastAsia="Times New Roman" w:hAnsi="Times New Roman" w:cs="Times New Roman"/>
          <w:snapToGrid w:val="0"/>
          <w:sz w:val="24"/>
          <w:szCs w:val="24"/>
        </w:rPr>
      </w:pPr>
    </w:p>
    <w:p w14:paraId="21F9F242" w14:textId="126001EB" w:rsidR="007D214F" w:rsidRDefault="008A5D0A"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next paragraph in this section (at p. 8) </w:t>
      </w:r>
      <w:r w:rsidR="00912C50">
        <w:rPr>
          <w:rFonts w:ascii="Times New Roman" w:eastAsia="Times New Roman" w:hAnsi="Times New Roman" w:cs="Times New Roman"/>
          <w:snapToGrid w:val="0"/>
          <w:sz w:val="24"/>
          <w:szCs w:val="24"/>
        </w:rPr>
        <w:t xml:space="preserve">then </w:t>
      </w:r>
      <w:r w:rsidR="007A0FB5">
        <w:rPr>
          <w:rFonts w:ascii="Times New Roman" w:eastAsia="Times New Roman" w:hAnsi="Times New Roman" w:cs="Times New Roman"/>
          <w:snapToGrid w:val="0"/>
          <w:sz w:val="24"/>
          <w:szCs w:val="24"/>
        </w:rPr>
        <w:t xml:space="preserve">cites </w:t>
      </w:r>
      <w:r w:rsidR="00912C50">
        <w:rPr>
          <w:rFonts w:ascii="Times New Roman" w:eastAsia="Times New Roman" w:hAnsi="Times New Roman" w:cs="Times New Roman"/>
          <w:snapToGrid w:val="0"/>
          <w:sz w:val="24"/>
          <w:szCs w:val="24"/>
        </w:rPr>
        <w:t xml:space="preserve">to </w:t>
      </w:r>
      <w:r w:rsidR="00912C50" w:rsidRPr="00D00FEB">
        <w:rPr>
          <w:rFonts w:ascii="Times New Roman" w:eastAsia="Times New Roman" w:hAnsi="Times New Roman" w:cs="Times New Roman"/>
          <w:snapToGrid w:val="0"/>
          <w:sz w:val="24"/>
          <w:szCs w:val="24"/>
        </w:rPr>
        <w:t>§</w:t>
      </w:r>
      <w:r w:rsidR="00912C50">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rPr>
        <w:t>.</w:t>
      </w:r>
      <w:r w:rsidR="00912C50">
        <w:rPr>
          <w:rFonts w:ascii="Times New Roman" w:eastAsia="Times New Roman" w:hAnsi="Times New Roman" w:cs="Times New Roman"/>
          <w:snapToGrid w:val="0"/>
          <w:sz w:val="24"/>
          <w:szCs w:val="24"/>
        </w:rPr>
        <w:t>4</w:t>
      </w:r>
      <w:r w:rsidR="00691C8A">
        <w:rPr>
          <w:rFonts w:ascii="Times New Roman" w:eastAsia="Times New Roman" w:hAnsi="Times New Roman" w:cs="Times New Roman"/>
          <w:snapToGrid w:val="0"/>
          <w:sz w:val="24"/>
          <w:szCs w:val="24"/>
        </w:rPr>
        <w:t xml:space="preserve">(a) </w:t>
      </w:r>
      <w:r w:rsidR="00912C50">
        <w:rPr>
          <w:rFonts w:ascii="Times New Roman" w:eastAsia="Times New Roman" w:hAnsi="Times New Roman" w:cs="Times New Roman"/>
          <w:snapToGrid w:val="0"/>
          <w:sz w:val="24"/>
          <w:szCs w:val="24"/>
        </w:rPr>
        <w:t xml:space="preserve">that a recommendation of salary increase may be phased in, </w:t>
      </w:r>
      <w:r w:rsidR="001650EB">
        <w:rPr>
          <w:rFonts w:ascii="Times New Roman" w:eastAsia="Times New Roman" w:hAnsi="Times New Roman" w:cs="Times New Roman"/>
          <w:snapToGrid w:val="0"/>
          <w:sz w:val="24"/>
          <w:szCs w:val="24"/>
        </w:rPr>
        <w:t>so</w:t>
      </w:r>
      <w:r w:rsidR="00912C50">
        <w:rPr>
          <w:rFonts w:ascii="Times New Roman" w:eastAsia="Times New Roman" w:hAnsi="Times New Roman" w:cs="Times New Roman"/>
          <w:snapToGrid w:val="0"/>
          <w:sz w:val="24"/>
          <w:szCs w:val="24"/>
        </w:rPr>
        <w:t xml:space="preserve"> long as the last </w:t>
      </w:r>
      <w:r w:rsidR="001650EB">
        <w:rPr>
          <w:rFonts w:ascii="Times New Roman" w:eastAsia="Times New Roman" w:hAnsi="Times New Roman" w:cs="Times New Roman"/>
          <w:snapToGrid w:val="0"/>
          <w:sz w:val="24"/>
          <w:szCs w:val="24"/>
        </w:rPr>
        <w:t xml:space="preserve">phase </w:t>
      </w:r>
      <w:r w:rsidR="00912C50">
        <w:rPr>
          <w:rFonts w:ascii="Times New Roman" w:eastAsia="Times New Roman" w:hAnsi="Times New Roman" w:cs="Times New Roman"/>
          <w:snapToGrid w:val="0"/>
          <w:sz w:val="24"/>
          <w:szCs w:val="24"/>
        </w:rPr>
        <w:t xml:space="preserve">is no later than January 1, 2021, </w:t>
      </w:r>
      <w:r>
        <w:rPr>
          <w:rFonts w:ascii="Times New Roman" w:eastAsia="Times New Roman" w:hAnsi="Times New Roman" w:cs="Times New Roman"/>
          <w:snapToGrid w:val="0"/>
          <w:sz w:val="24"/>
          <w:szCs w:val="24"/>
        </w:rPr>
        <w:t xml:space="preserve">and cites to and quotes </w:t>
      </w:r>
      <w:r w:rsidRPr="00D00FEB">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2.4(b), in stating</w:t>
      </w:r>
      <w:r w:rsidR="007D214F">
        <w:rPr>
          <w:rFonts w:ascii="Times New Roman" w:eastAsia="Times New Roman" w:hAnsi="Times New Roman" w:cs="Times New Roman"/>
          <w:snapToGrid w:val="0"/>
          <w:sz w:val="24"/>
          <w:szCs w:val="24"/>
        </w:rPr>
        <w:t>:</w:t>
      </w:r>
    </w:p>
    <w:p w14:paraId="107227A2" w14:textId="77777777" w:rsidR="007D214F" w:rsidRDefault="007D214F" w:rsidP="00912C50">
      <w:pPr>
        <w:spacing w:after="0" w:line="240" w:lineRule="auto"/>
        <w:jc w:val="both"/>
        <w:rPr>
          <w:rFonts w:ascii="Times New Roman" w:eastAsia="Times New Roman" w:hAnsi="Times New Roman" w:cs="Times New Roman"/>
          <w:snapToGrid w:val="0"/>
          <w:sz w:val="24"/>
          <w:szCs w:val="24"/>
        </w:rPr>
      </w:pPr>
    </w:p>
    <w:p w14:paraId="2AA50CDE" w14:textId="06673331" w:rsidR="008A5D0A" w:rsidRDefault="008A5D0A" w:rsidP="007D214F">
      <w:pPr>
        <w:spacing w:after="0" w:line="240" w:lineRule="auto"/>
        <w:ind w:left="1152" w:right="1152"/>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“each phased-in increase is statutorily </w:t>
      </w:r>
      <w:r w:rsidRPr="008A5D0A">
        <w:rPr>
          <w:rFonts w:ascii="Times New Roman" w:eastAsia="Times New Roman" w:hAnsi="Times New Roman" w:cs="Times New Roman"/>
          <w:snapToGrid w:val="0"/>
          <w:sz w:val="24"/>
          <w:szCs w:val="24"/>
          <w:u w:val="single"/>
        </w:rPr>
        <w:t>conditioned</w:t>
      </w:r>
      <w:r>
        <w:rPr>
          <w:rFonts w:ascii="Times New Roman" w:eastAsia="Times New Roman" w:hAnsi="Times New Roman" w:cs="Times New Roman"/>
          <w:snapToGrid w:val="0"/>
          <w:sz w:val="24"/>
          <w:szCs w:val="24"/>
        </w:rPr>
        <w:t xml:space="preserve"> upon ‘</w:t>
      </w:r>
      <w:r w:rsidR="00912C50">
        <w:rPr>
          <w:rFonts w:ascii="Times New Roman" w:eastAsia="Times New Roman" w:hAnsi="Times New Roman" w:cs="Times New Roman"/>
          <w:snapToGrid w:val="0"/>
          <w:sz w:val="24"/>
          <w:szCs w:val="24"/>
        </w:rPr>
        <w:t>performance of the executive and legislative branch and upon the timely legislative passage of the budget for the preceding year”</w:t>
      </w:r>
      <w:r w:rsidR="00B456C0">
        <w:rPr>
          <w:rFonts w:ascii="Times New Roman" w:eastAsia="Times New Roman" w:hAnsi="Times New Roman" w:cs="Times New Roman"/>
          <w:snapToGrid w:val="0"/>
          <w:sz w:val="24"/>
          <w:szCs w:val="24"/>
        </w:rPr>
        <w:t xml:space="preserve"> (underlining added)</w:t>
      </w:r>
      <w:r>
        <w:rPr>
          <w:rFonts w:ascii="Times New Roman" w:eastAsia="Times New Roman" w:hAnsi="Times New Roman" w:cs="Times New Roman"/>
          <w:snapToGrid w:val="0"/>
          <w:sz w:val="24"/>
          <w:szCs w:val="24"/>
        </w:rPr>
        <w:t>.</w:t>
      </w:r>
    </w:p>
    <w:p w14:paraId="1C9BC106" w14:textId="77777777" w:rsidR="008A5D0A" w:rsidRDefault="008A5D0A" w:rsidP="00912C50">
      <w:pPr>
        <w:spacing w:after="0" w:line="240" w:lineRule="auto"/>
        <w:jc w:val="both"/>
        <w:rPr>
          <w:rFonts w:ascii="Times New Roman" w:eastAsia="Times New Roman" w:hAnsi="Times New Roman" w:cs="Times New Roman"/>
          <w:snapToGrid w:val="0"/>
          <w:sz w:val="24"/>
          <w:szCs w:val="24"/>
        </w:rPr>
      </w:pPr>
    </w:p>
    <w:p w14:paraId="5C659BF4" w14:textId="4F7EB388" w:rsidR="008A5D0A" w:rsidRDefault="007869B2"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Thereupon, a</w:t>
      </w:r>
      <w:r w:rsidR="008A5D0A">
        <w:rPr>
          <w:rFonts w:ascii="Times New Roman" w:eastAsia="Times New Roman" w:hAnsi="Times New Roman" w:cs="Times New Roman"/>
          <w:snapToGrid w:val="0"/>
          <w:sz w:val="24"/>
          <w:szCs w:val="24"/>
        </w:rPr>
        <w:t xml:space="preserve"> one-sentence paragraph, with interpretive comment, follows:</w:t>
      </w:r>
    </w:p>
    <w:p w14:paraId="4B7C835F"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08415388" w14:textId="1F8E44D4" w:rsidR="00912C50" w:rsidRDefault="00912C50" w:rsidP="00912C50">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“This Committee is tasked with, as part of its report, delineating what those </w:t>
      </w:r>
      <w:r w:rsidRPr="008A5D0A">
        <w:rPr>
          <w:rFonts w:ascii="Times New Roman" w:eastAsia="Times New Roman" w:hAnsi="Times New Roman" w:cs="Times New Roman"/>
          <w:snapToGrid w:val="0"/>
          <w:sz w:val="24"/>
          <w:szCs w:val="24"/>
          <w:u w:val="single"/>
        </w:rPr>
        <w:t>conditions</w:t>
      </w:r>
      <w:r>
        <w:rPr>
          <w:rFonts w:ascii="Times New Roman" w:eastAsia="Times New Roman" w:hAnsi="Times New Roman" w:cs="Times New Roman"/>
          <w:snapToGrid w:val="0"/>
          <w:sz w:val="24"/>
          <w:szCs w:val="24"/>
        </w:rPr>
        <w:t xml:space="preserve"> require, although ‘legislative passage of the budget’ is set forth as having the same meaning as in Legislative Law </w:t>
      </w:r>
      <w:bookmarkStart w:id="4" w:name="_Hlk533622673"/>
      <w:r w:rsidRPr="00D00FEB">
        <w:rPr>
          <w:rFonts w:ascii="Times New Roman" w:eastAsia="Times New Roman" w:hAnsi="Times New Roman" w:cs="Times New Roman"/>
          <w:snapToGrid w:val="0"/>
          <w:sz w:val="24"/>
          <w:szCs w:val="24"/>
        </w:rPr>
        <w:t>§</w:t>
      </w:r>
      <w:bookmarkEnd w:id="4"/>
      <w:r>
        <w:rPr>
          <w:rFonts w:ascii="Times New Roman" w:eastAsia="Times New Roman" w:hAnsi="Times New Roman" w:cs="Times New Roman"/>
          <w:snapToGrid w:val="0"/>
          <w:sz w:val="24"/>
          <w:szCs w:val="24"/>
        </w:rPr>
        <w:t>5(3)”</w:t>
      </w:r>
      <w:r w:rsidR="00D00ADA">
        <w:rPr>
          <w:rFonts w:ascii="Times New Roman" w:eastAsia="Times New Roman" w:hAnsi="Times New Roman" w:cs="Times New Roman"/>
          <w:snapToGrid w:val="0"/>
          <w:sz w:val="24"/>
          <w:szCs w:val="24"/>
        </w:rPr>
        <w:t xml:space="preserve"> (underlining added).</w:t>
      </w:r>
    </w:p>
    <w:p w14:paraId="4D2E4D7D" w14:textId="77777777" w:rsidR="00912C50" w:rsidRDefault="00912C50" w:rsidP="00912C50">
      <w:pPr>
        <w:spacing w:after="0" w:line="240" w:lineRule="auto"/>
        <w:jc w:val="both"/>
        <w:rPr>
          <w:rFonts w:ascii="Times New Roman" w:eastAsia="Times New Roman" w:hAnsi="Times New Roman" w:cs="Times New Roman"/>
          <w:snapToGrid w:val="0"/>
          <w:sz w:val="24"/>
          <w:szCs w:val="24"/>
        </w:rPr>
      </w:pPr>
    </w:p>
    <w:p w14:paraId="5CFBF342" w14:textId="23227C54" w:rsidR="00657FFE" w:rsidRDefault="00657FFE"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In other words, the </w:t>
      </w:r>
      <w:r w:rsidR="007869B2">
        <w:rPr>
          <w:rFonts w:ascii="Times New Roman" w:eastAsia="Times New Roman" w:hAnsi="Times New Roman" w:cs="Times New Roman"/>
          <w:snapToGrid w:val="0"/>
          <w:sz w:val="24"/>
          <w:szCs w:val="24"/>
        </w:rPr>
        <w:t>Committee here</w:t>
      </w:r>
      <w:r>
        <w:rPr>
          <w:rFonts w:ascii="Times New Roman" w:eastAsia="Times New Roman" w:hAnsi="Times New Roman" w:cs="Times New Roman"/>
          <w:snapToGrid w:val="0"/>
          <w:sz w:val="24"/>
          <w:szCs w:val="24"/>
        </w:rPr>
        <w:t xml:space="preserve"> purports that </w:t>
      </w:r>
      <w:r w:rsidR="001650EB">
        <w:rPr>
          <w:rFonts w:ascii="Times New Roman" w:eastAsia="Times New Roman" w:hAnsi="Times New Roman" w:cs="Times New Roman"/>
          <w:snapToGrid w:val="0"/>
          <w:sz w:val="24"/>
          <w:szCs w:val="24"/>
        </w:rPr>
        <w:t>whereas</w:t>
      </w:r>
      <w:r>
        <w:rPr>
          <w:rFonts w:ascii="Times New Roman" w:eastAsia="Times New Roman" w:hAnsi="Times New Roman" w:cs="Times New Roman"/>
          <w:snapToGrid w:val="0"/>
          <w:sz w:val="24"/>
          <w:szCs w:val="24"/>
        </w:rPr>
        <w:t xml:space="preserve"> “legislative passage of the budget” is defined</w:t>
      </w:r>
      <w:r w:rsidR="00791A34">
        <w:rPr>
          <w:rFonts w:ascii="Times New Roman" w:eastAsia="Times New Roman" w:hAnsi="Times New Roman" w:cs="Times New Roman"/>
          <w:snapToGrid w:val="0"/>
          <w:sz w:val="24"/>
          <w:szCs w:val="24"/>
        </w:rPr>
        <w:t xml:space="preserve"> by </w:t>
      </w:r>
      <w:r w:rsidR="00CA609F">
        <w:rPr>
          <w:rFonts w:ascii="Times New Roman" w:eastAsia="Times New Roman" w:hAnsi="Times New Roman" w:cs="Times New Roman"/>
          <w:snapToGrid w:val="0"/>
          <w:sz w:val="24"/>
          <w:szCs w:val="24"/>
        </w:rPr>
        <w:t>Part HHH</w:t>
      </w:r>
      <w:r>
        <w:rPr>
          <w:rFonts w:ascii="Times New Roman" w:eastAsia="Times New Roman" w:hAnsi="Times New Roman" w:cs="Times New Roman"/>
          <w:snapToGrid w:val="0"/>
          <w:sz w:val="24"/>
          <w:szCs w:val="24"/>
        </w:rPr>
        <w:t xml:space="preserve">, </w:t>
      </w:r>
      <w:r w:rsidR="00ED3865">
        <w:rPr>
          <w:rFonts w:ascii="Times New Roman" w:eastAsia="Times New Roman" w:hAnsi="Times New Roman" w:cs="Times New Roman"/>
          <w:snapToGrid w:val="0"/>
          <w:sz w:val="24"/>
          <w:szCs w:val="24"/>
        </w:rPr>
        <w:t xml:space="preserve">not so </w:t>
      </w:r>
      <w:r w:rsidR="001650EB">
        <w:rPr>
          <w:rFonts w:ascii="Times New Roman" w:eastAsia="Times New Roman" w:hAnsi="Times New Roman" w:cs="Times New Roman"/>
          <w:snapToGrid w:val="0"/>
          <w:sz w:val="24"/>
          <w:szCs w:val="24"/>
        </w:rPr>
        <w:t xml:space="preserve">with </w:t>
      </w:r>
      <w:r>
        <w:rPr>
          <w:rFonts w:ascii="Times New Roman" w:eastAsia="Times New Roman" w:hAnsi="Times New Roman" w:cs="Times New Roman"/>
          <w:snapToGrid w:val="0"/>
          <w:sz w:val="24"/>
          <w:szCs w:val="24"/>
        </w:rPr>
        <w:t xml:space="preserve">“performance” </w:t>
      </w:r>
      <w:r w:rsidR="001650EB">
        <w:rPr>
          <w:rFonts w:ascii="Times New Roman" w:eastAsia="Times New Roman" w:hAnsi="Times New Roman" w:cs="Times New Roman"/>
          <w:snapToGrid w:val="0"/>
          <w:sz w:val="24"/>
          <w:szCs w:val="24"/>
        </w:rPr>
        <w:t>and, therefore,</w:t>
      </w:r>
      <w:r>
        <w:rPr>
          <w:rFonts w:ascii="Times New Roman" w:eastAsia="Times New Roman" w:hAnsi="Times New Roman" w:cs="Times New Roman"/>
          <w:snapToGrid w:val="0"/>
          <w:sz w:val="24"/>
          <w:szCs w:val="24"/>
        </w:rPr>
        <w:t xml:space="preserve"> it is “tasked” with interpreting it, with respect to phased-in increases.</w:t>
      </w:r>
    </w:p>
    <w:p w14:paraId="25BDE031" w14:textId="77777777" w:rsidR="00657FFE" w:rsidRDefault="00657FFE" w:rsidP="00912C50">
      <w:pPr>
        <w:spacing w:after="0" w:line="240" w:lineRule="auto"/>
        <w:jc w:val="both"/>
        <w:rPr>
          <w:rFonts w:ascii="Times New Roman" w:eastAsia="Times New Roman" w:hAnsi="Times New Roman" w:cs="Times New Roman"/>
          <w:snapToGrid w:val="0"/>
          <w:sz w:val="24"/>
          <w:szCs w:val="24"/>
        </w:rPr>
      </w:pPr>
    </w:p>
    <w:p w14:paraId="5162CEE0" w14:textId="60986CE5" w:rsidR="006E785B" w:rsidRDefault="00657FFE"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w:t>
      </w:r>
      <w:r w:rsidR="00B456C0">
        <w:rPr>
          <w:rFonts w:ascii="Times New Roman" w:eastAsia="Times New Roman" w:hAnsi="Times New Roman" w:cs="Times New Roman"/>
          <w:snapToGrid w:val="0"/>
          <w:sz w:val="24"/>
          <w:szCs w:val="24"/>
        </w:rPr>
        <w:t xml:space="preserve">next paragraph </w:t>
      </w:r>
      <w:r w:rsidR="00911744">
        <w:rPr>
          <w:rFonts w:ascii="Times New Roman" w:eastAsia="Times New Roman" w:hAnsi="Times New Roman" w:cs="Times New Roman"/>
          <w:snapToGrid w:val="0"/>
          <w:sz w:val="24"/>
          <w:szCs w:val="24"/>
        </w:rPr>
        <w:t xml:space="preserve">(at p. 8) </w:t>
      </w:r>
      <w:r>
        <w:rPr>
          <w:rFonts w:ascii="Times New Roman" w:eastAsia="Times New Roman" w:hAnsi="Times New Roman" w:cs="Times New Roman"/>
          <w:snapToGrid w:val="0"/>
          <w:sz w:val="24"/>
          <w:szCs w:val="24"/>
        </w:rPr>
        <w:t xml:space="preserve">then </w:t>
      </w:r>
      <w:r w:rsidR="006E785B">
        <w:rPr>
          <w:rFonts w:ascii="Times New Roman" w:eastAsia="Times New Roman" w:hAnsi="Times New Roman" w:cs="Times New Roman"/>
          <w:snapToGrid w:val="0"/>
          <w:sz w:val="24"/>
          <w:szCs w:val="24"/>
        </w:rPr>
        <w:t xml:space="preserve">skips, entirely, </w:t>
      </w:r>
      <w:bookmarkStart w:id="5" w:name="_Hlk534541911"/>
      <w:r w:rsidR="006E785B" w:rsidRPr="00D00FEB">
        <w:rPr>
          <w:rFonts w:ascii="Times New Roman" w:eastAsia="Times New Roman" w:hAnsi="Times New Roman" w:cs="Times New Roman"/>
          <w:snapToGrid w:val="0"/>
          <w:sz w:val="24"/>
          <w:szCs w:val="24"/>
        </w:rPr>
        <w:t>§</w:t>
      </w:r>
      <w:r w:rsidR="006E785B">
        <w:rPr>
          <w:rFonts w:ascii="Times New Roman" w:eastAsia="Times New Roman" w:hAnsi="Times New Roman" w:cs="Times New Roman"/>
          <w:snapToGrid w:val="0"/>
          <w:sz w:val="24"/>
          <w:szCs w:val="24"/>
        </w:rPr>
        <w:t>3</w:t>
      </w:r>
      <w:bookmarkEnd w:id="5"/>
      <w:r w:rsidR="006E785B">
        <w:rPr>
          <w:rFonts w:ascii="Times New Roman" w:eastAsia="Times New Roman" w:hAnsi="Times New Roman" w:cs="Times New Roman"/>
          <w:snapToGrid w:val="0"/>
          <w:sz w:val="24"/>
          <w:szCs w:val="24"/>
        </w:rPr>
        <w:t xml:space="preserve">, although its fourth and fifth subdivisions are clearly “Most relevant to our charge” – these pertaining to the </w:t>
      </w:r>
      <w:r w:rsidR="006C2C60">
        <w:rPr>
          <w:rFonts w:ascii="Times New Roman" w:eastAsia="Times New Roman" w:hAnsi="Times New Roman" w:cs="Times New Roman"/>
          <w:snapToGrid w:val="0"/>
          <w:sz w:val="24"/>
          <w:szCs w:val="24"/>
        </w:rPr>
        <w:t>resources that would enable the Committee to fulfill its responsibilities</w:t>
      </w:r>
      <w:r w:rsidR="006E785B">
        <w:rPr>
          <w:rFonts w:ascii="Times New Roman" w:eastAsia="Times New Roman" w:hAnsi="Times New Roman" w:cs="Times New Roman"/>
          <w:snapToGrid w:val="0"/>
          <w:sz w:val="24"/>
          <w:szCs w:val="24"/>
        </w:rPr>
        <w:t>:</w:t>
      </w:r>
    </w:p>
    <w:p w14:paraId="20DE56B3" w14:textId="68AC1B93" w:rsidR="006E785B" w:rsidRDefault="006E785B" w:rsidP="00912C50">
      <w:pPr>
        <w:spacing w:after="0" w:line="240" w:lineRule="auto"/>
        <w:jc w:val="both"/>
        <w:rPr>
          <w:rFonts w:ascii="Times New Roman" w:eastAsia="Times New Roman" w:hAnsi="Times New Roman" w:cs="Times New Roman"/>
          <w:snapToGrid w:val="0"/>
          <w:sz w:val="24"/>
          <w:szCs w:val="24"/>
        </w:rPr>
      </w:pPr>
    </w:p>
    <w:p w14:paraId="75562A0A" w14:textId="3EA0BB06" w:rsidR="006E785B" w:rsidRDefault="006E785B" w:rsidP="00E60708">
      <w:pPr>
        <w:spacing w:after="0" w:line="240" w:lineRule="auto"/>
        <w:ind w:left="1152" w:right="1152"/>
        <w:jc w:val="both"/>
        <w:rPr>
          <w:rFonts w:ascii="Times New Roman" w:eastAsia="Times New Roman" w:hAnsi="Times New Roman" w:cs="Times New Roman"/>
          <w:snapToGrid w:val="0"/>
          <w:sz w:val="24"/>
          <w:szCs w:val="24"/>
        </w:rPr>
      </w:pPr>
      <w:r w:rsidRPr="00E60708">
        <w:rPr>
          <w:rFonts w:ascii="Times New Roman" w:eastAsia="Times New Roman" w:hAnsi="Times New Roman" w:cs="Times New Roman"/>
          <w:snapToGrid w:val="0"/>
          <w:sz w:val="24"/>
          <w:szCs w:val="24"/>
          <w:u w:val="single"/>
        </w:rPr>
        <w:t>§3.4</w:t>
      </w:r>
      <w:r>
        <w:rPr>
          <w:rFonts w:ascii="Times New Roman" w:eastAsia="Times New Roman" w:hAnsi="Times New Roman" w:cs="Times New Roman"/>
          <w:snapToGrid w:val="0"/>
          <w:sz w:val="24"/>
          <w:szCs w:val="24"/>
        </w:rPr>
        <w:t xml:space="preserve">   </w:t>
      </w:r>
      <w:r w:rsidR="00E6070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“To the maximum extent feasible, the committee shall be entitled to request and receive and shall utilize and be provided with such facilities, resources and data of any court, department, division, board, bureau, committee, agency or public authority of the state or any political subdivision thereof as it may reasonably request to properly carry out its powers and duties pursuant to this act.”</w:t>
      </w:r>
    </w:p>
    <w:p w14:paraId="76C53495" w14:textId="067F3976" w:rsidR="006E785B" w:rsidRDefault="006E785B" w:rsidP="00E60708">
      <w:pPr>
        <w:spacing w:after="0" w:line="240" w:lineRule="auto"/>
        <w:ind w:left="1152" w:right="1152"/>
        <w:jc w:val="both"/>
        <w:rPr>
          <w:rFonts w:ascii="Times New Roman" w:eastAsia="Times New Roman" w:hAnsi="Times New Roman" w:cs="Times New Roman"/>
          <w:snapToGrid w:val="0"/>
          <w:sz w:val="24"/>
          <w:szCs w:val="24"/>
        </w:rPr>
      </w:pPr>
    </w:p>
    <w:p w14:paraId="59CC04C2" w14:textId="5D0C5EE1" w:rsidR="006E785B" w:rsidRDefault="006E785B" w:rsidP="00E60708">
      <w:pPr>
        <w:spacing w:after="0" w:line="240" w:lineRule="auto"/>
        <w:ind w:left="1152" w:right="1152"/>
        <w:jc w:val="both"/>
        <w:rPr>
          <w:rFonts w:ascii="Times New Roman" w:eastAsia="Times New Roman" w:hAnsi="Times New Roman" w:cs="Times New Roman"/>
          <w:snapToGrid w:val="0"/>
          <w:sz w:val="24"/>
          <w:szCs w:val="24"/>
        </w:rPr>
      </w:pPr>
      <w:r w:rsidRPr="00E60708">
        <w:rPr>
          <w:rFonts w:ascii="Times New Roman" w:eastAsia="Times New Roman" w:hAnsi="Times New Roman" w:cs="Times New Roman"/>
          <w:snapToGrid w:val="0"/>
          <w:sz w:val="24"/>
          <w:szCs w:val="24"/>
          <w:u w:val="single"/>
        </w:rPr>
        <w:t>§3.5</w:t>
      </w:r>
      <w:r>
        <w:rPr>
          <w:rFonts w:ascii="Times New Roman" w:eastAsia="Times New Roman" w:hAnsi="Times New Roman" w:cs="Times New Roman"/>
          <w:snapToGrid w:val="0"/>
          <w:sz w:val="24"/>
          <w:szCs w:val="24"/>
        </w:rPr>
        <w:t xml:space="preserve"> </w:t>
      </w:r>
      <w:r w:rsidR="00E6070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“The committee may request, and shall receive, reasonable assistance from state agency personnel as is necessary for the performance of its function.”  </w:t>
      </w:r>
    </w:p>
    <w:p w14:paraId="782F6F56" w14:textId="77777777" w:rsidR="006E785B" w:rsidRDefault="006E785B" w:rsidP="00E60708">
      <w:pPr>
        <w:spacing w:after="0" w:line="240" w:lineRule="auto"/>
        <w:ind w:left="1152" w:right="1152"/>
        <w:jc w:val="both"/>
        <w:rPr>
          <w:rFonts w:ascii="Times New Roman" w:eastAsia="Times New Roman" w:hAnsi="Times New Roman" w:cs="Times New Roman"/>
          <w:snapToGrid w:val="0"/>
          <w:sz w:val="24"/>
          <w:szCs w:val="24"/>
        </w:rPr>
      </w:pPr>
    </w:p>
    <w:p w14:paraId="06818912" w14:textId="447380C5" w:rsidR="00657FFE" w:rsidRDefault="00E60708"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Instead, this section </w:t>
      </w:r>
      <w:r w:rsidR="00911744">
        <w:rPr>
          <w:rFonts w:ascii="Times New Roman" w:eastAsia="Times New Roman" w:hAnsi="Times New Roman" w:cs="Times New Roman"/>
          <w:snapToGrid w:val="0"/>
          <w:sz w:val="24"/>
          <w:szCs w:val="24"/>
        </w:rPr>
        <w:t xml:space="preserve">speeds to </w:t>
      </w:r>
      <w:bookmarkStart w:id="6" w:name="_Hlk534541543"/>
      <w:r w:rsidR="00657FFE" w:rsidRPr="00D00FEB">
        <w:rPr>
          <w:rFonts w:ascii="Times New Roman" w:eastAsia="Times New Roman" w:hAnsi="Times New Roman" w:cs="Times New Roman"/>
          <w:snapToGrid w:val="0"/>
          <w:sz w:val="24"/>
          <w:szCs w:val="24"/>
        </w:rPr>
        <w:t>§</w:t>
      </w:r>
      <w:r w:rsidR="00657FFE">
        <w:rPr>
          <w:rFonts w:ascii="Times New Roman" w:eastAsia="Times New Roman" w:hAnsi="Times New Roman" w:cs="Times New Roman"/>
          <w:snapToGrid w:val="0"/>
          <w:sz w:val="24"/>
          <w:szCs w:val="24"/>
        </w:rPr>
        <w:t>4</w:t>
      </w:r>
      <w:bookmarkEnd w:id="6"/>
      <w:r w:rsidR="00911744">
        <w:rPr>
          <w:rFonts w:ascii="Times New Roman" w:eastAsia="Times New Roman" w:hAnsi="Times New Roman" w:cs="Times New Roman"/>
          <w:snapToGrid w:val="0"/>
          <w:sz w:val="24"/>
          <w:szCs w:val="24"/>
        </w:rPr>
        <w:t>.</w:t>
      </w:r>
      <w:r w:rsidR="00657FFE">
        <w:rPr>
          <w:rFonts w:ascii="Times New Roman" w:eastAsia="Times New Roman" w:hAnsi="Times New Roman" w:cs="Times New Roman"/>
          <w:snapToGrid w:val="0"/>
          <w:sz w:val="24"/>
          <w:szCs w:val="24"/>
        </w:rPr>
        <w:t>1</w:t>
      </w:r>
      <w:r w:rsidR="00382168">
        <w:rPr>
          <w:rFonts w:ascii="Times New Roman" w:eastAsia="Times New Roman" w:hAnsi="Times New Roman" w:cs="Times New Roman"/>
          <w:snapToGrid w:val="0"/>
          <w:sz w:val="24"/>
          <w:szCs w:val="24"/>
        </w:rPr>
        <w:t xml:space="preserve">, </w:t>
      </w:r>
      <w:r w:rsidR="00911744">
        <w:rPr>
          <w:rFonts w:ascii="Times New Roman" w:eastAsia="Times New Roman" w:hAnsi="Times New Roman" w:cs="Times New Roman"/>
          <w:snapToGrid w:val="0"/>
          <w:sz w:val="24"/>
          <w:szCs w:val="24"/>
        </w:rPr>
        <w:t xml:space="preserve">to which it cites, </w:t>
      </w:r>
      <w:r w:rsidR="00382168">
        <w:rPr>
          <w:rFonts w:ascii="Times New Roman" w:eastAsia="Times New Roman" w:hAnsi="Times New Roman" w:cs="Times New Roman"/>
          <w:snapToGrid w:val="0"/>
          <w:sz w:val="24"/>
          <w:szCs w:val="24"/>
        </w:rPr>
        <w:t xml:space="preserve">falsely implying that December 10, 2018 is the date </w:t>
      </w:r>
      <w:r w:rsidR="00911744">
        <w:rPr>
          <w:rFonts w:ascii="Times New Roman" w:eastAsia="Times New Roman" w:hAnsi="Times New Roman" w:cs="Times New Roman"/>
          <w:snapToGrid w:val="0"/>
          <w:sz w:val="24"/>
          <w:szCs w:val="24"/>
        </w:rPr>
        <w:t>the Committee’</w:t>
      </w:r>
      <w:r w:rsidR="00382168">
        <w:rPr>
          <w:rFonts w:ascii="Times New Roman" w:eastAsia="Times New Roman" w:hAnsi="Times New Roman" w:cs="Times New Roman"/>
          <w:snapToGrid w:val="0"/>
          <w:sz w:val="24"/>
          <w:szCs w:val="24"/>
        </w:rPr>
        <w:t>s report “is to be submitted” – as if mandatory.  I</w:t>
      </w:r>
      <w:r w:rsidR="00B456C0">
        <w:rPr>
          <w:rFonts w:ascii="Times New Roman" w:eastAsia="Times New Roman" w:hAnsi="Times New Roman" w:cs="Times New Roman"/>
          <w:snapToGrid w:val="0"/>
          <w:sz w:val="24"/>
          <w:szCs w:val="24"/>
        </w:rPr>
        <w:t>n fact, i</w:t>
      </w:r>
      <w:r w:rsidR="00382168">
        <w:rPr>
          <w:rFonts w:ascii="Times New Roman" w:eastAsia="Times New Roman" w:hAnsi="Times New Roman" w:cs="Times New Roman"/>
          <w:snapToGrid w:val="0"/>
          <w:sz w:val="24"/>
          <w:szCs w:val="24"/>
        </w:rPr>
        <w:t xml:space="preserve">t is the date by which the Committee “should submit” </w:t>
      </w:r>
      <w:r w:rsidR="00B456C0">
        <w:rPr>
          <w:rFonts w:ascii="Times New Roman" w:eastAsia="Times New Roman" w:hAnsi="Times New Roman" w:cs="Times New Roman"/>
          <w:snapToGrid w:val="0"/>
          <w:sz w:val="24"/>
          <w:szCs w:val="24"/>
        </w:rPr>
        <w:t>the report</w:t>
      </w:r>
      <w:r w:rsidR="00382168">
        <w:rPr>
          <w:rFonts w:ascii="Times New Roman" w:eastAsia="Times New Roman" w:hAnsi="Times New Roman" w:cs="Times New Roman"/>
          <w:snapToGrid w:val="0"/>
          <w:sz w:val="24"/>
          <w:szCs w:val="24"/>
        </w:rPr>
        <w:t xml:space="preserve">. </w:t>
      </w:r>
    </w:p>
    <w:p w14:paraId="2D808BAE" w14:textId="77777777" w:rsidR="00657FFE" w:rsidRDefault="00657FFE" w:rsidP="00912C50">
      <w:pPr>
        <w:spacing w:after="0" w:line="240" w:lineRule="auto"/>
        <w:jc w:val="both"/>
        <w:rPr>
          <w:rFonts w:ascii="Times New Roman" w:eastAsia="Times New Roman" w:hAnsi="Times New Roman" w:cs="Times New Roman"/>
          <w:snapToGrid w:val="0"/>
          <w:sz w:val="24"/>
          <w:szCs w:val="24"/>
        </w:rPr>
      </w:pPr>
    </w:p>
    <w:p w14:paraId="4B352EBF" w14:textId="53EBC217" w:rsidR="002C4A5F" w:rsidRDefault="00867958" w:rsidP="002D4249">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w:t>
      </w:r>
      <w:r w:rsidR="00836D53">
        <w:rPr>
          <w:rFonts w:ascii="Times New Roman" w:eastAsia="Times New Roman" w:hAnsi="Times New Roman" w:cs="Times New Roman"/>
          <w:snapToGrid w:val="0"/>
          <w:sz w:val="24"/>
          <w:szCs w:val="24"/>
        </w:rPr>
        <w:t xml:space="preserve">following </w:t>
      </w:r>
      <w:r w:rsidR="002C1A4D">
        <w:rPr>
          <w:rFonts w:ascii="Times New Roman" w:eastAsia="Times New Roman" w:hAnsi="Times New Roman" w:cs="Times New Roman"/>
          <w:snapToGrid w:val="0"/>
          <w:sz w:val="24"/>
          <w:szCs w:val="24"/>
        </w:rPr>
        <w:t xml:space="preserve">paragraph (at p. 8) </w:t>
      </w:r>
      <w:r w:rsidR="001650EB">
        <w:rPr>
          <w:rFonts w:ascii="Times New Roman" w:eastAsia="Times New Roman" w:hAnsi="Times New Roman" w:cs="Times New Roman"/>
          <w:snapToGrid w:val="0"/>
          <w:sz w:val="24"/>
          <w:szCs w:val="24"/>
        </w:rPr>
        <w:t xml:space="preserve">pertains </w:t>
      </w:r>
      <w:r>
        <w:rPr>
          <w:rFonts w:ascii="Times New Roman" w:eastAsia="Times New Roman" w:hAnsi="Times New Roman" w:cs="Times New Roman"/>
          <w:snapToGrid w:val="0"/>
          <w:sz w:val="24"/>
          <w:szCs w:val="24"/>
        </w:rPr>
        <w:t xml:space="preserve">to </w:t>
      </w:r>
      <w:r w:rsidR="00F23D60" w:rsidRPr="00D00FEB">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4</w:t>
      </w:r>
      <w:r w:rsidR="00911744">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2, without </w:t>
      </w:r>
      <w:r w:rsidR="00911744">
        <w:rPr>
          <w:rFonts w:ascii="Times New Roman" w:eastAsia="Times New Roman" w:hAnsi="Times New Roman" w:cs="Times New Roman"/>
          <w:snapToGrid w:val="0"/>
          <w:sz w:val="24"/>
          <w:szCs w:val="24"/>
        </w:rPr>
        <w:t>citing to it</w:t>
      </w:r>
      <w:r w:rsidR="00F23D60">
        <w:rPr>
          <w:rFonts w:ascii="Times New Roman" w:eastAsia="Times New Roman" w:hAnsi="Times New Roman" w:cs="Times New Roman"/>
          <w:snapToGrid w:val="0"/>
          <w:sz w:val="24"/>
          <w:szCs w:val="24"/>
        </w:rPr>
        <w:t xml:space="preserve"> – and materially misrepresents th</w:t>
      </w:r>
      <w:r w:rsidR="002C1A4D">
        <w:rPr>
          <w:rFonts w:ascii="Times New Roman" w:eastAsia="Times New Roman" w:hAnsi="Times New Roman" w:cs="Times New Roman"/>
          <w:snapToGrid w:val="0"/>
          <w:sz w:val="24"/>
          <w:szCs w:val="24"/>
        </w:rPr>
        <w:t>at th</w:t>
      </w:r>
      <w:r w:rsidR="00F23D60">
        <w:rPr>
          <w:rFonts w:ascii="Times New Roman" w:eastAsia="Times New Roman" w:hAnsi="Times New Roman" w:cs="Times New Roman"/>
          <w:snapToGrid w:val="0"/>
          <w:sz w:val="24"/>
          <w:szCs w:val="24"/>
        </w:rPr>
        <w:t xml:space="preserve">e Committee’s </w:t>
      </w:r>
      <w:r w:rsidR="002C1A4D">
        <w:rPr>
          <w:rFonts w:ascii="Times New Roman" w:eastAsia="Times New Roman" w:hAnsi="Times New Roman" w:cs="Times New Roman"/>
          <w:snapToGrid w:val="0"/>
          <w:sz w:val="24"/>
          <w:szCs w:val="24"/>
        </w:rPr>
        <w:t>“</w:t>
      </w:r>
      <w:r w:rsidR="00F23D60">
        <w:rPr>
          <w:rFonts w:ascii="Times New Roman" w:eastAsia="Times New Roman" w:hAnsi="Times New Roman" w:cs="Times New Roman"/>
          <w:snapToGrid w:val="0"/>
          <w:sz w:val="24"/>
          <w:szCs w:val="24"/>
        </w:rPr>
        <w:t xml:space="preserve">recommendations </w:t>
      </w:r>
      <w:r w:rsidR="002C1A4D">
        <w:rPr>
          <w:rFonts w:ascii="Times New Roman" w:eastAsia="Times New Roman" w:hAnsi="Times New Roman" w:cs="Times New Roman"/>
          <w:snapToGrid w:val="0"/>
          <w:sz w:val="24"/>
          <w:szCs w:val="24"/>
        </w:rPr>
        <w:t>‘shall have t</w:t>
      </w:r>
      <w:r w:rsidR="002D4249">
        <w:rPr>
          <w:rFonts w:ascii="Times New Roman" w:eastAsia="Times New Roman" w:hAnsi="Times New Roman" w:cs="Times New Roman"/>
          <w:snapToGrid w:val="0"/>
          <w:sz w:val="24"/>
          <w:szCs w:val="24"/>
        </w:rPr>
        <w:t xml:space="preserve">he force of law” unless abrogated by the Legislature “by statute prior to the commencement of the new term on January 1, 2019”. </w:t>
      </w:r>
      <w:r w:rsidR="002A40FE">
        <w:rPr>
          <w:rFonts w:ascii="Times New Roman" w:eastAsia="Times New Roman" w:hAnsi="Times New Roman" w:cs="Times New Roman"/>
          <w:snapToGrid w:val="0"/>
          <w:sz w:val="24"/>
          <w:szCs w:val="24"/>
        </w:rPr>
        <w:t xml:space="preserve">   </w:t>
      </w:r>
      <w:r w:rsidR="002D4249">
        <w:rPr>
          <w:rFonts w:ascii="Times New Roman" w:eastAsia="Times New Roman" w:hAnsi="Times New Roman" w:cs="Times New Roman"/>
          <w:snapToGrid w:val="0"/>
          <w:sz w:val="24"/>
          <w:szCs w:val="24"/>
        </w:rPr>
        <w:t xml:space="preserve">This is </w:t>
      </w:r>
      <w:r w:rsidR="00911744">
        <w:rPr>
          <w:rFonts w:ascii="Times New Roman" w:eastAsia="Times New Roman" w:hAnsi="Times New Roman" w:cs="Times New Roman"/>
          <w:snapToGrid w:val="0"/>
          <w:sz w:val="24"/>
          <w:szCs w:val="24"/>
        </w:rPr>
        <w:t xml:space="preserve">false.  </w:t>
      </w:r>
    </w:p>
    <w:p w14:paraId="4F2C548F" w14:textId="77777777" w:rsidR="002C4A5F" w:rsidRDefault="002C4A5F" w:rsidP="002D4249">
      <w:pPr>
        <w:spacing w:after="0" w:line="240" w:lineRule="auto"/>
        <w:jc w:val="both"/>
        <w:rPr>
          <w:rFonts w:ascii="Times New Roman" w:eastAsia="Times New Roman" w:hAnsi="Times New Roman" w:cs="Times New Roman"/>
          <w:snapToGrid w:val="0"/>
          <w:sz w:val="24"/>
          <w:szCs w:val="24"/>
        </w:rPr>
      </w:pPr>
    </w:p>
    <w:p w14:paraId="457FB6F6" w14:textId="277B3528" w:rsidR="002C4A5F" w:rsidRDefault="00911744" w:rsidP="00115DB1">
      <w:pPr>
        <w:pStyle w:val="ListParagraph"/>
        <w:numPr>
          <w:ilvl w:val="0"/>
          <w:numId w:val="9"/>
        </w:numPr>
        <w:spacing w:after="0" w:line="240" w:lineRule="auto"/>
        <w:jc w:val="both"/>
        <w:rPr>
          <w:rFonts w:ascii="Times New Roman" w:eastAsia="Times New Roman" w:hAnsi="Times New Roman" w:cs="Times New Roman"/>
          <w:snapToGrid w:val="0"/>
          <w:sz w:val="24"/>
          <w:szCs w:val="24"/>
        </w:rPr>
      </w:pPr>
      <w:r w:rsidRPr="002C4A5F">
        <w:rPr>
          <w:rFonts w:ascii="Times New Roman" w:eastAsia="Times New Roman" w:hAnsi="Times New Roman" w:cs="Times New Roman"/>
          <w:snapToGrid w:val="0"/>
          <w:sz w:val="24"/>
          <w:szCs w:val="24"/>
        </w:rPr>
        <w:t>F</w:t>
      </w:r>
      <w:r w:rsidR="002D4249" w:rsidRPr="002C4A5F">
        <w:rPr>
          <w:rFonts w:ascii="Times New Roman" w:eastAsia="Times New Roman" w:hAnsi="Times New Roman" w:cs="Times New Roman"/>
          <w:snapToGrid w:val="0"/>
          <w:sz w:val="24"/>
          <w:szCs w:val="24"/>
        </w:rPr>
        <w:t xml:space="preserve">irst, the only </w:t>
      </w:r>
      <w:r w:rsidR="002C1A4D" w:rsidRPr="002C4A5F">
        <w:rPr>
          <w:rFonts w:ascii="Times New Roman" w:eastAsia="Times New Roman" w:hAnsi="Times New Roman" w:cs="Times New Roman"/>
          <w:snapToGrid w:val="0"/>
          <w:sz w:val="24"/>
          <w:szCs w:val="24"/>
        </w:rPr>
        <w:t xml:space="preserve">Committee </w:t>
      </w:r>
      <w:r w:rsidR="002D4249" w:rsidRPr="002C4A5F">
        <w:rPr>
          <w:rFonts w:ascii="Times New Roman" w:eastAsia="Times New Roman" w:hAnsi="Times New Roman" w:cs="Times New Roman"/>
          <w:snapToGrid w:val="0"/>
          <w:sz w:val="24"/>
          <w:szCs w:val="24"/>
        </w:rPr>
        <w:t xml:space="preserve">recommendations having “the force of law” pertain to those </w:t>
      </w:r>
      <w:r w:rsidR="00F23D60" w:rsidRPr="002C4A5F">
        <w:rPr>
          <w:rFonts w:ascii="Times New Roman" w:eastAsia="Times New Roman" w:hAnsi="Times New Roman" w:cs="Times New Roman"/>
          <w:snapToGrid w:val="0"/>
          <w:sz w:val="24"/>
          <w:szCs w:val="24"/>
        </w:rPr>
        <w:t>“to implement a determination pursuant to section two of this act”</w:t>
      </w:r>
      <w:r w:rsidR="002D4249" w:rsidRPr="002C4A5F">
        <w:rPr>
          <w:rFonts w:ascii="Times New Roman" w:eastAsia="Times New Roman" w:hAnsi="Times New Roman" w:cs="Times New Roman"/>
          <w:snapToGrid w:val="0"/>
          <w:sz w:val="24"/>
          <w:szCs w:val="24"/>
        </w:rPr>
        <w:t xml:space="preserve"> – this being</w:t>
      </w:r>
      <w:r w:rsidR="002C1A4D" w:rsidRPr="002C4A5F">
        <w:rPr>
          <w:rFonts w:ascii="Times New Roman" w:eastAsia="Times New Roman" w:hAnsi="Times New Roman" w:cs="Times New Roman"/>
          <w:snapToGrid w:val="0"/>
          <w:sz w:val="24"/>
          <w:szCs w:val="24"/>
        </w:rPr>
        <w:t xml:space="preserve"> </w:t>
      </w:r>
      <w:r w:rsidR="002C4A5F" w:rsidRPr="00D00FEB">
        <w:rPr>
          <w:rFonts w:ascii="Times New Roman" w:eastAsia="Times New Roman" w:hAnsi="Times New Roman" w:cs="Times New Roman"/>
          <w:snapToGrid w:val="0"/>
          <w:sz w:val="24"/>
          <w:szCs w:val="24"/>
        </w:rPr>
        <w:t>§</w:t>
      </w:r>
      <w:r w:rsidR="002C1A4D" w:rsidRPr="002C4A5F">
        <w:rPr>
          <w:rFonts w:ascii="Times New Roman" w:eastAsia="Times New Roman" w:hAnsi="Times New Roman" w:cs="Times New Roman"/>
          <w:snapToGrid w:val="0"/>
          <w:sz w:val="24"/>
          <w:szCs w:val="24"/>
        </w:rPr>
        <w:t>2.2 as to “whether,…</w:t>
      </w:r>
      <w:r w:rsidR="002D4249" w:rsidRPr="002C4A5F">
        <w:rPr>
          <w:rFonts w:ascii="Times New Roman" w:eastAsia="Times New Roman" w:hAnsi="Times New Roman" w:cs="Times New Roman"/>
          <w:snapToGrid w:val="0"/>
          <w:sz w:val="24"/>
          <w:szCs w:val="24"/>
        </w:rPr>
        <w:t>t</w:t>
      </w:r>
      <w:r w:rsidR="00F23D60" w:rsidRPr="002C4A5F">
        <w:rPr>
          <w:rFonts w:ascii="Times New Roman" w:eastAsia="Times New Roman" w:hAnsi="Times New Roman" w:cs="Times New Roman"/>
          <w:snapToGrid w:val="0"/>
          <w:sz w:val="24"/>
          <w:szCs w:val="24"/>
        </w:rPr>
        <w:t xml:space="preserve">he </w:t>
      </w:r>
      <w:r w:rsidR="00F23D60" w:rsidRPr="002C4A5F">
        <w:rPr>
          <w:rFonts w:ascii="Times New Roman" w:eastAsia="Times New Roman" w:hAnsi="Times New Roman" w:cs="Times New Roman"/>
          <w:snapToGrid w:val="0"/>
          <w:sz w:val="24"/>
          <w:szCs w:val="24"/>
          <w:u w:val="single"/>
        </w:rPr>
        <w:t>annual salary and allowances</w:t>
      </w:r>
      <w:r w:rsidR="00F23D60" w:rsidRPr="002C4A5F">
        <w:rPr>
          <w:rFonts w:ascii="Times New Roman" w:eastAsia="Times New Roman" w:hAnsi="Times New Roman" w:cs="Times New Roman"/>
          <w:snapToGrid w:val="0"/>
          <w:sz w:val="24"/>
          <w:szCs w:val="24"/>
        </w:rPr>
        <w:t xml:space="preserve"> of members of the legislature, statewide elected officials, and </w:t>
      </w:r>
      <w:r w:rsidR="00F23D60" w:rsidRPr="002C4A5F">
        <w:rPr>
          <w:rFonts w:ascii="Times New Roman" w:eastAsia="Times New Roman" w:hAnsi="Times New Roman" w:cs="Times New Roman"/>
          <w:snapToGrid w:val="0"/>
          <w:sz w:val="24"/>
          <w:szCs w:val="24"/>
          <w:u w:val="single"/>
        </w:rPr>
        <w:t>salaries</w:t>
      </w:r>
      <w:r w:rsidR="00F23D60" w:rsidRPr="002C4A5F">
        <w:rPr>
          <w:rFonts w:ascii="Times New Roman" w:eastAsia="Times New Roman" w:hAnsi="Times New Roman" w:cs="Times New Roman"/>
          <w:snapToGrid w:val="0"/>
          <w:sz w:val="24"/>
          <w:szCs w:val="24"/>
        </w:rPr>
        <w:t xml:space="preserve"> of state officers referred to in section 169 of the executive law</w:t>
      </w:r>
      <w:r w:rsidR="002C1A4D" w:rsidRPr="002C4A5F">
        <w:rPr>
          <w:rFonts w:ascii="Times New Roman" w:eastAsia="Times New Roman" w:hAnsi="Times New Roman" w:cs="Times New Roman"/>
          <w:snapToGrid w:val="0"/>
          <w:sz w:val="24"/>
          <w:szCs w:val="24"/>
        </w:rPr>
        <w:t xml:space="preserve"> warrant an increase</w:t>
      </w:r>
      <w:r w:rsidR="00F23D60" w:rsidRPr="002C4A5F">
        <w:rPr>
          <w:rFonts w:ascii="Times New Roman" w:eastAsia="Times New Roman" w:hAnsi="Times New Roman" w:cs="Times New Roman"/>
          <w:snapToGrid w:val="0"/>
          <w:sz w:val="24"/>
          <w:szCs w:val="24"/>
        </w:rPr>
        <w:t>”</w:t>
      </w:r>
      <w:r w:rsidR="002C4A5F">
        <w:rPr>
          <w:rFonts w:ascii="Times New Roman" w:eastAsia="Times New Roman" w:hAnsi="Times New Roman" w:cs="Times New Roman"/>
          <w:snapToGrid w:val="0"/>
          <w:sz w:val="24"/>
          <w:szCs w:val="24"/>
        </w:rPr>
        <w:t xml:space="preserve"> (underlining added)</w:t>
      </w:r>
      <w:r w:rsidR="00F23D60" w:rsidRPr="002C4A5F">
        <w:rPr>
          <w:rFonts w:ascii="Times New Roman" w:eastAsia="Times New Roman" w:hAnsi="Times New Roman" w:cs="Times New Roman"/>
          <w:snapToGrid w:val="0"/>
          <w:sz w:val="24"/>
          <w:szCs w:val="24"/>
        </w:rPr>
        <w:t>.</w:t>
      </w:r>
      <w:r w:rsidR="00046ED6" w:rsidRPr="002C4A5F">
        <w:rPr>
          <w:rFonts w:ascii="Times New Roman" w:eastAsia="Times New Roman" w:hAnsi="Times New Roman" w:cs="Times New Roman"/>
          <w:snapToGrid w:val="0"/>
          <w:sz w:val="24"/>
          <w:szCs w:val="24"/>
        </w:rPr>
        <w:t xml:space="preserve">  </w:t>
      </w:r>
    </w:p>
    <w:p w14:paraId="6CCA722D" w14:textId="77777777" w:rsidR="002C4A5F" w:rsidRDefault="002C4A5F" w:rsidP="002C4A5F">
      <w:pPr>
        <w:pStyle w:val="ListParagraph"/>
        <w:spacing w:after="0" w:line="240" w:lineRule="auto"/>
        <w:jc w:val="both"/>
        <w:rPr>
          <w:rFonts w:ascii="Times New Roman" w:eastAsia="Times New Roman" w:hAnsi="Times New Roman" w:cs="Times New Roman"/>
          <w:snapToGrid w:val="0"/>
          <w:sz w:val="24"/>
          <w:szCs w:val="24"/>
        </w:rPr>
      </w:pPr>
    </w:p>
    <w:p w14:paraId="74A40D32" w14:textId="20E6EF2E" w:rsidR="00F23D60" w:rsidRDefault="00046ED6" w:rsidP="00115DB1">
      <w:pPr>
        <w:pStyle w:val="ListParagraph"/>
        <w:numPr>
          <w:ilvl w:val="0"/>
          <w:numId w:val="9"/>
        </w:numPr>
        <w:spacing w:after="0" w:line="240" w:lineRule="auto"/>
        <w:jc w:val="both"/>
        <w:rPr>
          <w:rFonts w:ascii="Times New Roman" w:eastAsia="Times New Roman" w:hAnsi="Times New Roman" w:cs="Times New Roman"/>
          <w:snapToGrid w:val="0"/>
          <w:sz w:val="24"/>
          <w:szCs w:val="24"/>
        </w:rPr>
      </w:pPr>
      <w:r w:rsidRPr="002C4A5F">
        <w:rPr>
          <w:rFonts w:ascii="Times New Roman" w:eastAsia="Times New Roman" w:hAnsi="Times New Roman" w:cs="Times New Roman"/>
          <w:snapToGrid w:val="0"/>
          <w:sz w:val="24"/>
          <w:szCs w:val="24"/>
        </w:rPr>
        <w:t>Second</w:t>
      </w:r>
      <w:r w:rsidR="008D29D9" w:rsidRPr="002C4A5F">
        <w:rPr>
          <w:rFonts w:ascii="Times New Roman" w:eastAsia="Times New Roman" w:hAnsi="Times New Roman" w:cs="Times New Roman"/>
          <w:snapToGrid w:val="0"/>
          <w:sz w:val="24"/>
          <w:szCs w:val="24"/>
        </w:rPr>
        <w:t>, the only recommendations having “the force of law” unless modified or abrogated by January 1, 2019 are those pertaining to 2019, as §4</w:t>
      </w:r>
      <w:r w:rsidR="00955CE6">
        <w:rPr>
          <w:rFonts w:ascii="Times New Roman" w:eastAsia="Times New Roman" w:hAnsi="Times New Roman" w:cs="Times New Roman"/>
          <w:snapToGrid w:val="0"/>
          <w:sz w:val="24"/>
          <w:szCs w:val="24"/>
        </w:rPr>
        <w:t>.</w:t>
      </w:r>
      <w:r w:rsidR="008D29D9" w:rsidRPr="002C4A5F">
        <w:rPr>
          <w:rFonts w:ascii="Times New Roman" w:eastAsia="Times New Roman" w:hAnsi="Times New Roman" w:cs="Times New Roman"/>
          <w:snapToGrid w:val="0"/>
          <w:sz w:val="24"/>
          <w:szCs w:val="24"/>
        </w:rPr>
        <w:t>2 reads “unless modified or abrogated by statute prior to January first of the year as to which such determination applies to legislative and executive compensation”.</w:t>
      </w:r>
    </w:p>
    <w:p w14:paraId="30141BA1" w14:textId="7034FD4A" w:rsidR="002A40FE" w:rsidRDefault="00772505" w:rsidP="002C4A5F">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br/>
      </w:r>
      <w:r w:rsidR="002C4A5F">
        <w:rPr>
          <w:rFonts w:ascii="Times New Roman" w:eastAsia="Times New Roman" w:hAnsi="Times New Roman" w:cs="Times New Roman"/>
          <w:snapToGrid w:val="0"/>
          <w:sz w:val="24"/>
          <w:szCs w:val="24"/>
        </w:rPr>
        <w:t xml:space="preserve">The final two paragraphs of this section </w:t>
      </w:r>
      <w:r w:rsidR="002A40FE">
        <w:rPr>
          <w:rFonts w:ascii="Times New Roman" w:eastAsia="Times New Roman" w:hAnsi="Times New Roman" w:cs="Times New Roman"/>
          <w:snapToGrid w:val="0"/>
          <w:sz w:val="24"/>
          <w:szCs w:val="24"/>
        </w:rPr>
        <w:t xml:space="preserve">(at pp. 8-9) </w:t>
      </w:r>
      <w:r w:rsidR="002C4A5F">
        <w:rPr>
          <w:rFonts w:ascii="Times New Roman" w:eastAsia="Times New Roman" w:hAnsi="Times New Roman" w:cs="Times New Roman"/>
          <w:snapToGrid w:val="0"/>
          <w:sz w:val="24"/>
          <w:szCs w:val="24"/>
        </w:rPr>
        <w:t>are led off by the introductory phrase: “For further reference</w:t>
      </w:r>
      <w:r w:rsidR="002A40FE">
        <w:rPr>
          <w:rFonts w:ascii="Times New Roman" w:eastAsia="Times New Roman" w:hAnsi="Times New Roman" w:cs="Times New Roman"/>
          <w:snapToGrid w:val="0"/>
          <w:sz w:val="24"/>
          <w:szCs w:val="24"/>
        </w:rPr>
        <w:t xml:space="preserve">, </w:t>
      </w:r>
      <w:r w:rsidR="002A40FE" w:rsidRPr="00772505">
        <w:rPr>
          <w:rFonts w:ascii="Times New Roman" w:eastAsia="Times New Roman" w:hAnsi="Times New Roman" w:cs="Times New Roman"/>
          <w:snapToGrid w:val="0"/>
          <w:sz w:val="24"/>
          <w:szCs w:val="24"/>
          <w:u w:val="single"/>
        </w:rPr>
        <w:t>among</w:t>
      </w:r>
      <w:r w:rsidR="002A40FE">
        <w:rPr>
          <w:rFonts w:ascii="Times New Roman" w:eastAsia="Times New Roman" w:hAnsi="Times New Roman" w:cs="Times New Roman"/>
          <w:snapToGrid w:val="0"/>
          <w:sz w:val="24"/>
          <w:szCs w:val="24"/>
        </w:rPr>
        <w:t xml:space="preserve"> the provisions of law that may be impacted</w:t>
      </w:r>
      <w:r>
        <w:rPr>
          <w:rFonts w:ascii="Times New Roman" w:eastAsia="Times New Roman" w:hAnsi="Times New Roman" w:cs="Times New Roman"/>
          <w:snapToGrid w:val="0"/>
          <w:sz w:val="24"/>
          <w:szCs w:val="24"/>
        </w:rPr>
        <w:t>”</w:t>
      </w:r>
      <w:r w:rsidR="00ED3865">
        <w:rPr>
          <w:rFonts w:ascii="Times New Roman" w:eastAsia="Times New Roman" w:hAnsi="Times New Roman" w:cs="Times New Roman"/>
          <w:snapToGrid w:val="0"/>
          <w:sz w:val="24"/>
          <w:szCs w:val="24"/>
        </w:rPr>
        <w:t>, furnishing</w:t>
      </w:r>
      <w:r w:rsidR="002A40FE">
        <w:rPr>
          <w:rFonts w:ascii="Times New Roman" w:eastAsia="Times New Roman" w:hAnsi="Times New Roman" w:cs="Times New Roman"/>
          <w:snapToGrid w:val="0"/>
          <w:sz w:val="24"/>
          <w:szCs w:val="24"/>
        </w:rPr>
        <w:t xml:space="preserve"> three:  </w:t>
      </w:r>
    </w:p>
    <w:p w14:paraId="2D34DD0A" w14:textId="77777777" w:rsidR="002A40FE" w:rsidRDefault="002A40FE" w:rsidP="002C4A5F">
      <w:pPr>
        <w:spacing w:after="0" w:line="240" w:lineRule="auto"/>
        <w:jc w:val="both"/>
        <w:rPr>
          <w:rFonts w:ascii="Times New Roman" w:eastAsia="Times New Roman" w:hAnsi="Times New Roman" w:cs="Times New Roman"/>
          <w:snapToGrid w:val="0"/>
          <w:sz w:val="24"/>
          <w:szCs w:val="24"/>
        </w:rPr>
      </w:pPr>
    </w:p>
    <w:p w14:paraId="46F6E884" w14:textId="746030C0" w:rsidR="002C4A5F" w:rsidRDefault="002A40FE" w:rsidP="00115DB1">
      <w:pPr>
        <w:pStyle w:val="ListParagraph"/>
        <w:numPr>
          <w:ilvl w:val="0"/>
          <w:numId w:val="10"/>
        </w:numPr>
        <w:spacing w:after="0" w:line="240" w:lineRule="auto"/>
        <w:ind w:right="720"/>
        <w:jc w:val="both"/>
        <w:rPr>
          <w:rFonts w:ascii="Times New Roman" w:eastAsia="Times New Roman" w:hAnsi="Times New Roman" w:cs="Times New Roman"/>
          <w:snapToGrid w:val="0"/>
          <w:sz w:val="24"/>
          <w:szCs w:val="24"/>
        </w:rPr>
      </w:pPr>
      <w:r w:rsidRPr="002A40FE">
        <w:rPr>
          <w:rFonts w:ascii="Times New Roman" w:eastAsia="Times New Roman" w:hAnsi="Times New Roman" w:cs="Times New Roman"/>
          <w:snapToGrid w:val="0"/>
          <w:sz w:val="24"/>
          <w:szCs w:val="24"/>
        </w:rPr>
        <w:t>“Section 5 of the legislative law, which effectuates the salary provisions of the Constitution for Legislators AND Section 5-a of the Legislative Law, which…provides for legislative stipends for legislators who serve in a variety of positions.”</w:t>
      </w:r>
      <w:r>
        <w:rPr>
          <w:rFonts w:ascii="Times New Roman" w:eastAsia="Times New Roman" w:hAnsi="Times New Roman" w:cs="Times New Roman"/>
          <w:snapToGrid w:val="0"/>
          <w:sz w:val="24"/>
          <w:szCs w:val="24"/>
        </w:rPr>
        <w:t>;</w:t>
      </w:r>
    </w:p>
    <w:p w14:paraId="293B37D4" w14:textId="77777777" w:rsidR="002A40FE" w:rsidRDefault="002A40FE" w:rsidP="00772505">
      <w:pPr>
        <w:pStyle w:val="ListParagraph"/>
        <w:spacing w:after="0" w:line="240" w:lineRule="auto"/>
        <w:ind w:right="720"/>
        <w:jc w:val="both"/>
        <w:rPr>
          <w:rFonts w:ascii="Times New Roman" w:eastAsia="Times New Roman" w:hAnsi="Times New Roman" w:cs="Times New Roman"/>
          <w:snapToGrid w:val="0"/>
          <w:sz w:val="24"/>
          <w:szCs w:val="24"/>
        </w:rPr>
      </w:pPr>
    </w:p>
    <w:p w14:paraId="60466A83" w14:textId="77777777" w:rsidR="001273A7" w:rsidRDefault="002A40FE" w:rsidP="00115DB1">
      <w:pPr>
        <w:pStyle w:val="ListParagraph"/>
        <w:numPr>
          <w:ilvl w:val="0"/>
          <w:numId w:val="10"/>
        </w:numPr>
        <w:spacing w:after="0" w:line="240" w:lineRule="auto"/>
        <w:ind w:right="720"/>
        <w:jc w:val="both"/>
        <w:rPr>
          <w:rFonts w:ascii="Times New Roman" w:eastAsia="Times New Roman" w:hAnsi="Times New Roman" w:cs="Times New Roman"/>
          <w:snapToGrid w:val="0"/>
          <w:sz w:val="24"/>
          <w:szCs w:val="24"/>
        </w:rPr>
      </w:pPr>
      <w:r w:rsidRPr="003F4E62">
        <w:rPr>
          <w:rFonts w:ascii="Times New Roman" w:eastAsia="Times New Roman" w:hAnsi="Times New Roman" w:cs="Times New Roman"/>
          <w:snapToGrid w:val="0"/>
          <w:sz w:val="24"/>
          <w:szCs w:val="24"/>
        </w:rPr>
        <w:t>“Section 169 of the Executive Law set[ting] forth the salaries for various state officers holding positions such as commissioner, chancellor, executive director and the like.”</w:t>
      </w:r>
    </w:p>
    <w:p w14:paraId="219BA08C" w14:textId="70EB75B7" w:rsidR="00C57C8A" w:rsidRDefault="00C57C8A" w:rsidP="001273A7">
      <w:pPr>
        <w:pStyle w:val="ListParagraph"/>
        <w:spacing w:after="0" w:line="240" w:lineRule="auto"/>
        <w:ind w:right="720"/>
        <w:jc w:val="both"/>
        <w:rPr>
          <w:rFonts w:ascii="Times New Roman" w:eastAsia="Times New Roman" w:hAnsi="Times New Roman" w:cs="Times New Roman"/>
          <w:snapToGrid w:val="0"/>
          <w:sz w:val="24"/>
          <w:szCs w:val="24"/>
        </w:rPr>
      </w:pPr>
    </w:p>
    <w:p w14:paraId="4B00B171" w14:textId="190BFC65" w:rsidR="00F23D60" w:rsidRDefault="003F4E62" w:rsidP="00912C50">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w:t>
      </w:r>
      <w:r w:rsidR="00772505">
        <w:rPr>
          <w:rFonts w:ascii="Times New Roman" w:eastAsia="Times New Roman" w:hAnsi="Times New Roman" w:cs="Times New Roman"/>
          <w:snapToGrid w:val="0"/>
          <w:sz w:val="24"/>
          <w:szCs w:val="24"/>
        </w:rPr>
        <w:t>hereby co</w:t>
      </w:r>
      <w:r w:rsidR="00C57C8A">
        <w:rPr>
          <w:rFonts w:ascii="Times New Roman" w:eastAsia="Times New Roman" w:hAnsi="Times New Roman" w:cs="Times New Roman"/>
          <w:snapToGrid w:val="0"/>
          <w:sz w:val="24"/>
          <w:szCs w:val="24"/>
        </w:rPr>
        <w:t xml:space="preserve">vered up by the word “among” is </w:t>
      </w:r>
      <w:r w:rsidR="00772505">
        <w:rPr>
          <w:rFonts w:ascii="Times New Roman" w:eastAsia="Times New Roman" w:hAnsi="Times New Roman" w:cs="Times New Roman"/>
          <w:snapToGrid w:val="0"/>
          <w:sz w:val="24"/>
          <w:szCs w:val="24"/>
        </w:rPr>
        <w:t xml:space="preserve">the deficiency of </w:t>
      </w:r>
      <w:r w:rsidR="00986DBA" w:rsidRPr="00D00FEB">
        <w:rPr>
          <w:rFonts w:ascii="Times New Roman" w:eastAsia="Times New Roman" w:hAnsi="Times New Roman" w:cs="Times New Roman"/>
          <w:snapToGrid w:val="0"/>
          <w:sz w:val="24"/>
          <w:szCs w:val="24"/>
        </w:rPr>
        <w:t>§</w:t>
      </w:r>
      <w:r w:rsidR="00986DBA">
        <w:rPr>
          <w:rFonts w:ascii="Times New Roman" w:eastAsia="Times New Roman" w:hAnsi="Times New Roman" w:cs="Times New Roman"/>
          <w:snapToGrid w:val="0"/>
          <w:sz w:val="24"/>
          <w:szCs w:val="24"/>
        </w:rPr>
        <w:t xml:space="preserve">4.2 </w:t>
      </w:r>
      <w:r w:rsidR="00ED3865">
        <w:rPr>
          <w:rFonts w:ascii="Times New Roman" w:eastAsia="Times New Roman" w:hAnsi="Times New Roman" w:cs="Times New Roman"/>
          <w:snapToGrid w:val="0"/>
          <w:sz w:val="24"/>
          <w:szCs w:val="24"/>
        </w:rPr>
        <w:t xml:space="preserve">in failing to </w:t>
      </w:r>
      <w:r w:rsidR="00795E95">
        <w:rPr>
          <w:rFonts w:ascii="Times New Roman" w:eastAsia="Times New Roman" w:hAnsi="Times New Roman" w:cs="Times New Roman"/>
          <w:snapToGrid w:val="0"/>
          <w:sz w:val="24"/>
          <w:szCs w:val="24"/>
        </w:rPr>
        <w:t>include</w:t>
      </w:r>
      <w:r w:rsidR="00C57C8A">
        <w:rPr>
          <w:rFonts w:ascii="Times New Roman" w:eastAsia="Times New Roman" w:hAnsi="Times New Roman" w:cs="Times New Roman"/>
          <w:snapToGrid w:val="0"/>
          <w:sz w:val="24"/>
          <w:szCs w:val="24"/>
        </w:rPr>
        <w:t>, in addition to these three provision</w:t>
      </w:r>
      <w:r w:rsidR="00E2341F">
        <w:rPr>
          <w:rFonts w:ascii="Times New Roman" w:eastAsia="Times New Roman" w:hAnsi="Times New Roman" w:cs="Times New Roman"/>
          <w:snapToGrid w:val="0"/>
          <w:sz w:val="24"/>
          <w:szCs w:val="24"/>
        </w:rPr>
        <w:t>s</w:t>
      </w:r>
      <w:r w:rsidR="00C57C8A">
        <w:rPr>
          <w:rFonts w:ascii="Times New Roman" w:eastAsia="Times New Roman" w:hAnsi="Times New Roman" w:cs="Times New Roman"/>
          <w:snapToGrid w:val="0"/>
          <w:sz w:val="24"/>
          <w:szCs w:val="24"/>
        </w:rPr>
        <w:t xml:space="preserve">, the </w:t>
      </w:r>
      <w:r w:rsidR="00DC2E91">
        <w:rPr>
          <w:rFonts w:ascii="Times New Roman" w:eastAsia="Times New Roman" w:hAnsi="Times New Roman" w:cs="Times New Roman"/>
          <w:snapToGrid w:val="0"/>
          <w:sz w:val="24"/>
          <w:szCs w:val="24"/>
        </w:rPr>
        <w:t xml:space="preserve">provisions </w:t>
      </w:r>
      <w:r w:rsidR="007D214F">
        <w:rPr>
          <w:rFonts w:ascii="Times New Roman" w:eastAsia="Times New Roman" w:hAnsi="Times New Roman" w:cs="Times New Roman"/>
          <w:snapToGrid w:val="0"/>
          <w:sz w:val="24"/>
          <w:szCs w:val="24"/>
        </w:rPr>
        <w:t>pertinent to t</w:t>
      </w:r>
      <w:r w:rsidR="00986DBA">
        <w:rPr>
          <w:rFonts w:ascii="Times New Roman" w:eastAsia="Times New Roman" w:hAnsi="Times New Roman" w:cs="Times New Roman"/>
          <w:snapToGrid w:val="0"/>
          <w:sz w:val="24"/>
          <w:szCs w:val="24"/>
        </w:rPr>
        <w:t xml:space="preserve">he </w:t>
      </w:r>
      <w:r w:rsidR="00795E95">
        <w:rPr>
          <w:rFonts w:ascii="Times New Roman" w:eastAsia="Times New Roman" w:hAnsi="Times New Roman" w:cs="Times New Roman"/>
          <w:snapToGrid w:val="0"/>
          <w:sz w:val="24"/>
          <w:szCs w:val="24"/>
        </w:rPr>
        <w:t xml:space="preserve">salaries of the </w:t>
      </w:r>
      <w:r w:rsidR="00986DBA">
        <w:rPr>
          <w:rFonts w:ascii="Times New Roman" w:eastAsia="Times New Roman" w:hAnsi="Times New Roman" w:cs="Times New Roman"/>
          <w:snapToGrid w:val="0"/>
          <w:sz w:val="24"/>
          <w:szCs w:val="24"/>
        </w:rPr>
        <w:t>comptroller</w:t>
      </w:r>
      <w:r>
        <w:rPr>
          <w:rFonts w:ascii="Times New Roman" w:eastAsia="Times New Roman" w:hAnsi="Times New Roman" w:cs="Times New Roman"/>
          <w:snapToGrid w:val="0"/>
          <w:sz w:val="24"/>
          <w:szCs w:val="24"/>
        </w:rPr>
        <w:t xml:space="preserve"> and attorney general</w:t>
      </w:r>
      <w:r w:rsidR="00C57C8A">
        <w:rPr>
          <w:rFonts w:ascii="Times New Roman" w:eastAsia="Times New Roman" w:hAnsi="Times New Roman" w:cs="Times New Roman"/>
          <w:snapToGrid w:val="0"/>
          <w:sz w:val="24"/>
          <w:szCs w:val="24"/>
        </w:rPr>
        <w:t xml:space="preserve">, </w:t>
      </w:r>
      <w:r w:rsidR="00C57C8A" w:rsidRPr="00C57C8A">
        <w:rPr>
          <w:rFonts w:ascii="Times New Roman" w:eastAsia="Times New Roman" w:hAnsi="Times New Roman" w:cs="Times New Roman"/>
          <w:i/>
          <w:snapToGrid w:val="0"/>
          <w:sz w:val="24"/>
          <w:szCs w:val="24"/>
        </w:rPr>
        <w:t>to wit</w:t>
      </w:r>
      <w:r w:rsidR="00C57C8A">
        <w:rPr>
          <w:rFonts w:ascii="Times New Roman" w:eastAsia="Times New Roman" w:hAnsi="Times New Roman" w:cs="Times New Roman"/>
          <w:snapToGrid w:val="0"/>
          <w:sz w:val="24"/>
          <w:szCs w:val="24"/>
        </w:rPr>
        <w:t xml:space="preserve">: </w:t>
      </w:r>
    </w:p>
    <w:p w14:paraId="289B7A6F" w14:textId="6FB4B8A8" w:rsidR="00436A4B" w:rsidRDefault="00436A4B" w:rsidP="00912C50">
      <w:pPr>
        <w:spacing w:after="0" w:line="240" w:lineRule="auto"/>
        <w:jc w:val="both"/>
        <w:rPr>
          <w:rFonts w:ascii="Times New Roman" w:eastAsia="Times New Roman" w:hAnsi="Times New Roman" w:cs="Times New Roman"/>
          <w:snapToGrid w:val="0"/>
          <w:sz w:val="24"/>
          <w:szCs w:val="24"/>
        </w:rPr>
      </w:pPr>
    </w:p>
    <w:p w14:paraId="04EB4A8D" w14:textId="77777777" w:rsidR="003F4E62" w:rsidRPr="003F4E62" w:rsidRDefault="003F4E62" w:rsidP="003F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000000"/>
          <w:sz w:val="24"/>
          <w:szCs w:val="24"/>
        </w:rPr>
      </w:pPr>
      <w:r w:rsidRPr="003F4E62">
        <w:rPr>
          <w:rFonts w:ascii="Times New Roman" w:eastAsia="Times New Roman" w:hAnsi="Times New Roman" w:cs="Times New Roman"/>
          <w:color w:val="000000"/>
          <w:sz w:val="24"/>
          <w:szCs w:val="24"/>
          <w:u w:val="single"/>
        </w:rPr>
        <w:t>Executive Law §40, entitled “Department  of  audit  and  control;  comptroller”</w:t>
      </w:r>
      <w:r w:rsidRPr="003F4E62">
        <w:rPr>
          <w:rFonts w:ascii="Times New Roman" w:eastAsia="Times New Roman" w:hAnsi="Times New Roman" w:cs="Times New Roman"/>
          <w:color w:val="000000"/>
          <w:sz w:val="24"/>
          <w:szCs w:val="24"/>
        </w:rPr>
        <w:t>, which reads, in pertinent part:</w:t>
      </w:r>
    </w:p>
    <w:p w14:paraId="452618BE" w14:textId="77777777" w:rsidR="003F4E62" w:rsidRPr="003F4E62" w:rsidRDefault="003F4E62" w:rsidP="003F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000000"/>
          <w:sz w:val="24"/>
          <w:szCs w:val="24"/>
        </w:rPr>
      </w:pPr>
    </w:p>
    <w:p w14:paraId="6A0BE37C" w14:textId="5C61B9B8" w:rsidR="003F4E62" w:rsidRPr="003F4E62" w:rsidRDefault="003F4E62" w:rsidP="003F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2" w:right="1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F4E62">
        <w:rPr>
          <w:rFonts w:ascii="Times New Roman" w:eastAsia="Times New Roman" w:hAnsi="Times New Roman" w:cs="Times New Roman"/>
          <w:color w:val="000000"/>
          <w:sz w:val="24"/>
          <w:szCs w:val="24"/>
        </w:rPr>
        <w:t>There shall continue to be in  the  state  government  a  department  of  audit  and  control.</w:t>
      </w:r>
    </w:p>
    <w:p w14:paraId="0932703C" w14:textId="5768588D" w:rsidR="003F4E62" w:rsidRPr="003F4E62" w:rsidRDefault="003F4E62" w:rsidP="003F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jc w:val="both"/>
        <w:rPr>
          <w:rFonts w:ascii="Times New Roman" w:eastAsia="Times New Roman" w:hAnsi="Times New Roman" w:cs="Times New Roman"/>
          <w:color w:val="000000"/>
          <w:sz w:val="24"/>
          <w:szCs w:val="24"/>
        </w:rPr>
      </w:pPr>
      <w:r w:rsidRPr="003F4E62">
        <w:rPr>
          <w:rFonts w:ascii="Times New Roman" w:eastAsia="Times New Roman" w:hAnsi="Times New Roman" w:cs="Times New Roman"/>
          <w:color w:val="000000"/>
          <w:sz w:val="24"/>
          <w:szCs w:val="24"/>
        </w:rPr>
        <w:t xml:space="preserve">    1.  The  head  of  the  department  of  audit and control shall be the comptroller. He shall be paid an annual salary of one hundred  fifty-one thousand five hundred dollars.</w:t>
      </w:r>
      <w:r>
        <w:rPr>
          <w:rFonts w:ascii="Times New Roman" w:eastAsia="Times New Roman" w:hAnsi="Times New Roman" w:cs="Times New Roman"/>
          <w:color w:val="000000"/>
          <w:sz w:val="24"/>
          <w:szCs w:val="24"/>
        </w:rPr>
        <w:t>”</w:t>
      </w:r>
    </w:p>
    <w:p w14:paraId="2E691909" w14:textId="77777777" w:rsidR="003F4E62" w:rsidRDefault="003F4E62" w:rsidP="00795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000000"/>
          <w:sz w:val="24"/>
          <w:szCs w:val="24"/>
        </w:rPr>
      </w:pPr>
    </w:p>
    <w:p w14:paraId="477D4417" w14:textId="7F6F5EA5" w:rsidR="00795E95" w:rsidRDefault="00795E95" w:rsidP="00795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000000"/>
          <w:sz w:val="24"/>
          <w:szCs w:val="24"/>
        </w:rPr>
      </w:pPr>
      <w:r w:rsidRPr="003F4E62">
        <w:rPr>
          <w:rFonts w:ascii="Times New Roman" w:eastAsia="Times New Roman" w:hAnsi="Times New Roman" w:cs="Times New Roman"/>
          <w:color w:val="000000"/>
          <w:sz w:val="24"/>
          <w:szCs w:val="24"/>
          <w:u w:val="single"/>
        </w:rPr>
        <w:t xml:space="preserve">Executive Law </w:t>
      </w:r>
      <w:r w:rsidR="00436A4B" w:rsidRPr="00436A4B">
        <w:rPr>
          <w:rFonts w:ascii="Times New Roman" w:eastAsia="Times New Roman" w:hAnsi="Times New Roman" w:cs="Times New Roman"/>
          <w:color w:val="000000"/>
          <w:sz w:val="24"/>
          <w:szCs w:val="24"/>
          <w:u w:val="single"/>
        </w:rPr>
        <w:t>§60</w:t>
      </w:r>
      <w:r w:rsidRPr="003F4E62">
        <w:rPr>
          <w:rFonts w:ascii="Times New Roman" w:eastAsia="Times New Roman" w:hAnsi="Times New Roman" w:cs="Times New Roman"/>
          <w:color w:val="000000"/>
          <w:sz w:val="24"/>
          <w:szCs w:val="24"/>
          <w:u w:val="single"/>
        </w:rPr>
        <w:t>, entitled</w:t>
      </w:r>
      <w:r w:rsidR="00436A4B" w:rsidRPr="00436A4B">
        <w:rPr>
          <w:rFonts w:ascii="Times New Roman" w:eastAsia="Times New Roman" w:hAnsi="Times New Roman" w:cs="Times New Roman"/>
          <w:color w:val="000000"/>
          <w:sz w:val="24"/>
          <w:szCs w:val="24"/>
          <w:u w:val="single"/>
        </w:rPr>
        <w:t xml:space="preserve"> </w:t>
      </w:r>
      <w:r w:rsidR="003F4E62">
        <w:rPr>
          <w:rFonts w:ascii="Times New Roman" w:eastAsia="Times New Roman" w:hAnsi="Times New Roman" w:cs="Times New Roman"/>
          <w:color w:val="000000"/>
          <w:sz w:val="24"/>
          <w:szCs w:val="24"/>
          <w:u w:val="single"/>
        </w:rPr>
        <w:t>“</w:t>
      </w:r>
      <w:r w:rsidR="00436A4B" w:rsidRPr="00436A4B">
        <w:rPr>
          <w:rFonts w:ascii="Times New Roman" w:eastAsia="Times New Roman" w:hAnsi="Times New Roman" w:cs="Times New Roman"/>
          <w:color w:val="000000"/>
          <w:sz w:val="24"/>
          <w:szCs w:val="24"/>
          <w:u w:val="single"/>
        </w:rPr>
        <w:t>Department  of  la</w:t>
      </w:r>
      <w:r w:rsidR="003F4E62">
        <w:rPr>
          <w:rFonts w:ascii="Times New Roman" w:eastAsia="Times New Roman" w:hAnsi="Times New Roman" w:cs="Times New Roman"/>
          <w:color w:val="000000"/>
          <w:sz w:val="24"/>
          <w:szCs w:val="24"/>
          <w:u w:val="single"/>
        </w:rPr>
        <w:t>w”</w:t>
      </w:r>
      <w:r>
        <w:rPr>
          <w:rFonts w:ascii="Times New Roman" w:eastAsia="Times New Roman" w:hAnsi="Times New Roman" w:cs="Times New Roman"/>
          <w:color w:val="000000"/>
          <w:sz w:val="24"/>
          <w:szCs w:val="24"/>
        </w:rPr>
        <w:t>, which reads</w:t>
      </w:r>
      <w:r w:rsidR="003F4E62">
        <w:rPr>
          <w:rFonts w:ascii="Times New Roman" w:eastAsia="Times New Roman" w:hAnsi="Times New Roman" w:cs="Times New Roman"/>
          <w:color w:val="000000"/>
          <w:sz w:val="24"/>
          <w:szCs w:val="24"/>
        </w:rPr>
        <w:t>, in full</w:t>
      </w:r>
      <w:r>
        <w:rPr>
          <w:rFonts w:ascii="Times New Roman" w:eastAsia="Times New Roman" w:hAnsi="Times New Roman" w:cs="Times New Roman"/>
          <w:color w:val="000000"/>
          <w:sz w:val="24"/>
          <w:szCs w:val="24"/>
        </w:rPr>
        <w:t>:</w:t>
      </w:r>
    </w:p>
    <w:p w14:paraId="341B4CBC" w14:textId="77777777" w:rsidR="00795E95" w:rsidRDefault="00795E95" w:rsidP="00795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000000"/>
          <w:sz w:val="24"/>
          <w:szCs w:val="24"/>
        </w:rPr>
      </w:pPr>
    </w:p>
    <w:p w14:paraId="51DA992C" w14:textId="59016156" w:rsidR="00436A4B" w:rsidRPr="00436A4B" w:rsidRDefault="003F4E62" w:rsidP="003F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2" w:right="1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36A4B" w:rsidRPr="00436A4B">
        <w:rPr>
          <w:rFonts w:ascii="Times New Roman" w:eastAsia="Times New Roman" w:hAnsi="Times New Roman" w:cs="Times New Roman"/>
          <w:color w:val="000000"/>
          <w:sz w:val="24"/>
          <w:szCs w:val="24"/>
        </w:rPr>
        <w:t>There  shall  continue  to be in the state</w:t>
      </w:r>
      <w:r w:rsidR="00795E95" w:rsidRPr="00795E95">
        <w:rPr>
          <w:rFonts w:ascii="Times New Roman" w:eastAsia="Times New Roman" w:hAnsi="Times New Roman" w:cs="Times New Roman"/>
          <w:color w:val="000000"/>
          <w:sz w:val="24"/>
          <w:szCs w:val="24"/>
        </w:rPr>
        <w:t xml:space="preserve"> </w:t>
      </w:r>
      <w:r w:rsidR="00436A4B" w:rsidRPr="00436A4B">
        <w:rPr>
          <w:rFonts w:ascii="Times New Roman" w:eastAsia="Times New Roman" w:hAnsi="Times New Roman" w:cs="Times New Roman"/>
          <w:color w:val="000000"/>
          <w:sz w:val="24"/>
          <w:szCs w:val="24"/>
        </w:rPr>
        <w:t>government a department of law. The head of the department of law  shall</w:t>
      </w:r>
      <w:r w:rsidR="00795E95" w:rsidRPr="00795E95">
        <w:rPr>
          <w:rFonts w:ascii="Times New Roman" w:eastAsia="Times New Roman" w:hAnsi="Times New Roman" w:cs="Times New Roman"/>
          <w:color w:val="000000"/>
          <w:sz w:val="24"/>
          <w:szCs w:val="24"/>
        </w:rPr>
        <w:t xml:space="preserve"> </w:t>
      </w:r>
      <w:r w:rsidR="00436A4B" w:rsidRPr="00436A4B">
        <w:rPr>
          <w:rFonts w:ascii="Times New Roman" w:eastAsia="Times New Roman" w:hAnsi="Times New Roman" w:cs="Times New Roman"/>
          <w:color w:val="000000"/>
          <w:sz w:val="24"/>
          <w:szCs w:val="24"/>
        </w:rPr>
        <w:t>be  the  attorney-general  who  shall  receive  an  annual salary of one</w:t>
      </w:r>
      <w:r w:rsidR="00795E95" w:rsidRPr="00795E95">
        <w:rPr>
          <w:rFonts w:ascii="Times New Roman" w:eastAsia="Times New Roman" w:hAnsi="Times New Roman" w:cs="Times New Roman"/>
          <w:color w:val="000000"/>
          <w:sz w:val="24"/>
          <w:szCs w:val="24"/>
        </w:rPr>
        <w:t xml:space="preserve"> </w:t>
      </w:r>
      <w:r w:rsidR="00436A4B" w:rsidRPr="00436A4B">
        <w:rPr>
          <w:rFonts w:ascii="Times New Roman" w:eastAsia="Times New Roman" w:hAnsi="Times New Roman" w:cs="Times New Roman"/>
          <w:color w:val="000000"/>
          <w:sz w:val="24"/>
          <w:szCs w:val="24"/>
        </w:rPr>
        <w:t>hundred fifty-one thousand five hundred dollars.</w:t>
      </w:r>
      <w:r>
        <w:rPr>
          <w:rFonts w:ascii="Times New Roman" w:eastAsia="Times New Roman" w:hAnsi="Times New Roman" w:cs="Times New Roman"/>
          <w:color w:val="000000"/>
          <w:sz w:val="24"/>
          <w:szCs w:val="24"/>
        </w:rPr>
        <w:t>”</w:t>
      </w:r>
    </w:p>
    <w:p w14:paraId="77D90819" w14:textId="77777777" w:rsidR="00436A4B" w:rsidRPr="00795E95" w:rsidRDefault="00436A4B" w:rsidP="00795E95">
      <w:pPr>
        <w:spacing w:after="0" w:line="240" w:lineRule="auto"/>
        <w:ind w:left="720" w:right="720"/>
        <w:jc w:val="both"/>
        <w:rPr>
          <w:rFonts w:ascii="Times New Roman" w:eastAsia="Times New Roman" w:hAnsi="Times New Roman" w:cs="Times New Roman"/>
          <w:snapToGrid w:val="0"/>
          <w:sz w:val="24"/>
          <w:szCs w:val="24"/>
        </w:rPr>
      </w:pPr>
    </w:p>
    <w:p w14:paraId="6CEB1E0C" w14:textId="21B410F6" w:rsidR="00912C50" w:rsidRDefault="00912C50" w:rsidP="00430207">
      <w:pPr>
        <w:spacing w:after="0" w:line="240" w:lineRule="auto"/>
        <w:jc w:val="center"/>
        <w:rPr>
          <w:rFonts w:ascii="Times New Roman" w:eastAsia="Times New Roman" w:hAnsi="Times New Roman" w:cs="Times New Roman"/>
          <w:color w:val="000000"/>
          <w:sz w:val="24"/>
          <w:szCs w:val="24"/>
        </w:rPr>
      </w:pPr>
      <w:r w:rsidRPr="00E10ACF">
        <w:rPr>
          <w:rFonts w:ascii="Times New Roman" w:eastAsia="Times New Roman" w:hAnsi="Times New Roman" w:cs="Times New Roman"/>
          <w:b/>
          <w:color w:val="000000"/>
          <w:sz w:val="24"/>
          <w:szCs w:val="24"/>
          <w:u w:val="single"/>
        </w:rPr>
        <w:t>“F</w:t>
      </w:r>
      <w:r w:rsidR="000874C5">
        <w:rPr>
          <w:rFonts w:ascii="Times New Roman" w:eastAsia="Times New Roman" w:hAnsi="Times New Roman" w:cs="Times New Roman"/>
          <w:b/>
          <w:color w:val="000000"/>
          <w:sz w:val="24"/>
          <w:szCs w:val="24"/>
          <w:u w:val="single"/>
        </w:rPr>
        <w:t xml:space="preserve">indings and Determinations” </w:t>
      </w:r>
      <w:r w:rsidRPr="009E1609">
        <w:rPr>
          <w:rFonts w:ascii="Times New Roman" w:eastAsia="Times New Roman" w:hAnsi="Times New Roman" w:cs="Times New Roman"/>
          <w:color w:val="000000"/>
          <w:sz w:val="24"/>
          <w:szCs w:val="24"/>
          <w:u w:val="single"/>
        </w:rPr>
        <w:t>(</w:t>
      </w:r>
      <w:r w:rsidR="009E1609" w:rsidRPr="009E1609">
        <w:rPr>
          <w:rFonts w:ascii="Times New Roman" w:eastAsia="Times New Roman" w:hAnsi="Times New Roman" w:cs="Times New Roman"/>
          <w:color w:val="000000"/>
          <w:sz w:val="24"/>
          <w:szCs w:val="24"/>
          <w:u w:val="single"/>
        </w:rPr>
        <w:t xml:space="preserve">at </w:t>
      </w:r>
      <w:r w:rsidRPr="009E1609">
        <w:rPr>
          <w:rFonts w:ascii="Times New Roman" w:eastAsia="Times New Roman" w:hAnsi="Times New Roman" w:cs="Times New Roman"/>
          <w:color w:val="000000"/>
          <w:sz w:val="24"/>
          <w:szCs w:val="24"/>
          <w:u w:val="single"/>
        </w:rPr>
        <w:t>pp. 10 -</w:t>
      </w:r>
      <w:r w:rsidR="004D3766" w:rsidRPr="009E1609">
        <w:rPr>
          <w:rFonts w:ascii="Times New Roman" w:eastAsia="Times New Roman" w:hAnsi="Times New Roman" w:cs="Times New Roman"/>
          <w:color w:val="000000"/>
          <w:sz w:val="24"/>
          <w:szCs w:val="24"/>
          <w:u w:val="single"/>
        </w:rPr>
        <w:t>13</w:t>
      </w:r>
      <w:r w:rsidRPr="009E1609">
        <w:rPr>
          <w:rFonts w:ascii="Times New Roman" w:eastAsia="Times New Roman" w:hAnsi="Times New Roman" w:cs="Times New Roman"/>
          <w:color w:val="000000"/>
          <w:sz w:val="24"/>
          <w:szCs w:val="24"/>
          <w:u w:val="single"/>
        </w:rPr>
        <w:t>)</w:t>
      </w:r>
    </w:p>
    <w:p w14:paraId="3644BBB9" w14:textId="77777777" w:rsidR="009E1609" w:rsidRDefault="009E1609" w:rsidP="00912C50">
      <w:pPr>
        <w:spacing w:after="0" w:line="240" w:lineRule="auto"/>
        <w:rPr>
          <w:rFonts w:ascii="Times New Roman" w:eastAsia="Times New Roman" w:hAnsi="Times New Roman" w:cs="Times New Roman"/>
          <w:color w:val="000000"/>
          <w:sz w:val="24"/>
          <w:szCs w:val="24"/>
        </w:rPr>
      </w:pPr>
    </w:p>
    <w:p w14:paraId="19894CBB" w14:textId="01BC98F6" w:rsidR="006F2477" w:rsidRDefault="00CA609F" w:rsidP="00912C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this heading are 16 paragraphs prefaced by the </w:t>
      </w:r>
      <w:r w:rsidR="00E60708">
        <w:rPr>
          <w:rFonts w:ascii="Times New Roman" w:eastAsia="Times New Roman" w:hAnsi="Times New Roman" w:cs="Times New Roman"/>
          <w:color w:val="000000"/>
          <w:sz w:val="24"/>
          <w:szCs w:val="24"/>
        </w:rPr>
        <w:t xml:space="preserve">single </w:t>
      </w:r>
      <w:r>
        <w:rPr>
          <w:rFonts w:ascii="Times New Roman" w:eastAsia="Times New Roman" w:hAnsi="Times New Roman" w:cs="Times New Roman"/>
          <w:color w:val="000000"/>
          <w:sz w:val="24"/>
          <w:szCs w:val="24"/>
        </w:rPr>
        <w:t>sentence</w:t>
      </w:r>
      <w:r w:rsidR="006F2477">
        <w:rPr>
          <w:rFonts w:ascii="Times New Roman" w:eastAsia="Times New Roman" w:hAnsi="Times New Roman" w:cs="Times New Roman"/>
          <w:color w:val="000000"/>
          <w:sz w:val="24"/>
          <w:szCs w:val="24"/>
        </w:rPr>
        <w:t xml:space="preserve">: </w:t>
      </w:r>
    </w:p>
    <w:p w14:paraId="2356299A" w14:textId="77777777" w:rsidR="006F2477" w:rsidRDefault="006F2477" w:rsidP="00912C50">
      <w:pPr>
        <w:spacing w:after="0" w:line="240" w:lineRule="auto"/>
        <w:rPr>
          <w:rFonts w:ascii="Times New Roman" w:eastAsia="Times New Roman" w:hAnsi="Times New Roman" w:cs="Times New Roman"/>
          <w:color w:val="000000"/>
          <w:sz w:val="24"/>
          <w:szCs w:val="24"/>
        </w:rPr>
      </w:pPr>
    </w:p>
    <w:p w14:paraId="02D36EB2" w14:textId="3878C218" w:rsidR="006F2477" w:rsidRDefault="006F2477" w:rsidP="006F2477">
      <w:pPr>
        <w:spacing w:after="0" w:line="240" w:lineRule="auto"/>
        <w:ind w:left="1152" w:right="1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upon the public testimony and extensive written submissions, and upon its own research and deliberations, the Committee’s findings are as follows:”</w:t>
      </w:r>
    </w:p>
    <w:p w14:paraId="3410C6A8" w14:textId="77777777" w:rsidR="006F2477" w:rsidRDefault="006F2477" w:rsidP="00912C50">
      <w:pPr>
        <w:spacing w:after="0" w:line="240" w:lineRule="auto"/>
        <w:rPr>
          <w:rFonts w:ascii="Times New Roman" w:eastAsia="Times New Roman" w:hAnsi="Times New Roman" w:cs="Times New Roman"/>
          <w:color w:val="000000"/>
          <w:sz w:val="24"/>
          <w:szCs w:val="24"/>
        </w:rPr>
      </w:pPr>
    </w:p>
    <w:p w14:paraId="031D56ED" w14:textId="3C0819B6" w:rsidR="00D17E85" w:rsidRDefault="006F2477" w:rsidP="00542E5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sidR="00E60708">
        <w:rPr>
          <w:rFonts w:ascii="Times New Roman" w:eastAsia="Times New Roman" w:hAnsi="Times New Roman" w:cs="Times New Roman"/>
          <w:color w:val="000000"/>
          <w:sz w:val="24"/>
          <w:szCs w:val="24"/>
        </w:rPr>
        <w:t xml:space="preserve">sentence </w:t>
      </w:r>
      <w:r>
        <w:rPr>
          <w:rFonts w:ascii="Times New Roman" w:eastAsia="Times New Roman" w:hAnsi="Times New Roman" w:cs="Times New Roman"/>
          <w:color w:val="000000"/>
          <w:sz w:val="24"/>
          <w:szCs w:val="24"/>
        </w:rPr>
        <w:t xml:space="preserve">is </w:t>
      </w:r>
      <w:r w:rsidR="00E60708">
        <w:rPr>
          <w:rFonts w:ascii="Times New Roman" w:eastAsia="Times New Roman" w:hAnsi="Times New Roman" w:cs="Times New Roman"/>
          <w:color w:val="000000"/>
          <w:sz w:val="24"/>
          <w:szCs w:val="24"/>
        </w:rPr>
        <w:t>both insufficient – and fraudulent</w:t>
      </w:r>
      <w:r>
        <w:rPr>
          <w:rFonts w:ascii="Times New Roman" w:eastAsia="Times New Roman" w:hAnsi="Times New Roman" w:cs="Times New Roman"/>
          <w:color w:val="000000"/>
          <w:sz w:val="24"/>
          <w:szCs w:val="24"/>
        </w:rPr>
        <w:t xml:space="preserve">.  </w:t>
      </w:r>
      <w:r w:rsidR="00E60708">
        <w:rPr>
          <w:rFonts w:ascii="Times New Roman" w:eastAsia="Times New Roman" w:hAnsi="Times New Roman" w:cs="Times New Roman"/>
          <w:color w:val="000000"/>
          <w:sz w:val="24"/>
          <w:szCs w:val="24"/>
        </w:rPr>
        <w:t xml:space="preserve"> </w:t>
      </w:r>
      <w:r w:rsidR="00A16D42">
        <w:rPr>
          <w:rFonts w:ascii="Times New Roman" w:eastAsia="Times New Roman" w:hAnsi="Times New Roman" w:cs="Times New Roman"/>
          <w:color w:val="000000"/>
          <w:sz w:val="24"/>
          <w:szCs w:val="24"/>
        </w:rPr>
        <w:t>C</w:t>
      </w:r>
      <w:r w:rsidR="00E60708">
        <w:rPr>
          <w:rFonts w:ascii="Times New Roman" w:eastAsia="Times New Roman" w:hAnsi="Times New Roman" w:cs="Times New Roman"/>
          <w:color w:val="000000"/>
          <w:sz w:val="24"/>
          <w:szCs w:val="24"/>
        </w:rPr>
        <w:t xml:space="preserve">ompletely missing is even an assertion that </w:t>
      </w:r>
      <w:r w:rsidR="008D124A">
        <w:rPr>
          <w:rFonts w:ascii="Times New Roman" w:eastAsia="Times New Roman" w:hAnsi="Times New Roman" w:cs="Times New Roman"/>
          <w:color w:val="000000"/>
          <w:sz w:val="24"/>
          <w:szCs w:val="24"/>
        </w:rPr>
        <w:t xml:space="preserve">the Committee’s so-called “findings” are based on compliance with </w:t>
      </w:r>
      <w:r w:rsidR="00331CCC">
        <w:rPr>
          <w:rFonts w:ascii="Times New Roman" w:eastAsia="Times New Roman" w:hAnsi="Times New Roman" w:cs="Times New Roman"/>
          <w:color w:val="000000"/>
          <w:sz w:val="24"/>
          <w:szCs w:val="24"/>
        </w:rPr>
        <w:t xml:space="preserve">the provisions of </w:t>
      </w:r>
      <w:r w:rsidR="008D124A">
        <w:rPr>
          <w:rFonts w:ascii="Times New Roman" w:eastAsia="Times New Roman" w:hAnsi="Times New Roman" w:cs="Times New Roman"/>
          <w:color w:val="000000"/>
          <w:sz w:val="24"/>
          <w:szCs w:val="24"/>
        </w:rPr>
        <w:t>Part HHH</w:t>
      </w:r>
      <w:r w:rsidR="00D17E85">
        <w:rPr>
          <w:rFonts w:ascii="Times New Roman" w:eastAsia="Times New Roman" w:hAnsi="Times New Roman" w:cs="Times New Roman"/>
          <w:color w:val="000000"/>
          <w:sz w:val="24"/>
          <w:szCs w:val="24"/>
        </w:rPr>
        <w:t xml:space="preserve">.  That they are not is </w:t>
      </w:r>
      <w:r w:rsidR="00A16D42">
        <w:rPr>
          <w:rFonts w:ascii="Times New Roman" w:eastAsia="Times New Roman" w:hAnsi="Times New Roman" w:cs="Times New Roman"/>
          <w:color w:val="000000"/>
          <w:sz w:val="24"/>
          <w:szCs w:val="24"/>
        </w:rPr>
        <w:t xml:space="preserve">evidenced from </w:t>
      </w:r>
      <w:r w:rsidR="00E97CF2">
        <w:rPr>
          <w:rFonts w:ascii="Times New Roman" w:eastAsia="Times New Roman" w:hAnsi="Times New Roman" w:cs="Times New Roman"/>
          <w:color w:val="000000"/>
          <w:sz w:val="24"/>
          <w:szCs w:val="24"/>
        </w:rPr>
        <w:t xml:space="preserve">the misrepresentation and concealment of </w:t>
      </w:r>
      <w:r w:rsidR="009F48CD">
        <w:rPr>
          <w:rFonts w:ascii="Times New Roman" w:eastAsia="Times New Roman" w:hAnsi="Times New Roman" w:cs="Times New Roman"/>
          <w:color w:val="000000"/>
          <w:sz w:val="24"/>
          <w:szCs w:val="24"/>
        </w:rPr>
        <w:t>the Committee’s</w:t>
      </w:r>
      <w:r w:rsidR="00E97CF2">
        <w:rPr>
          <w:rFonts w:ascii="Times New Roman" w:eastAsia="Times New Roman" w:hAnsi="Times New Roman" w:cs="Times New Roman"/>
          <w:color w:val="000000"/>
          <w:sz w:val="24"/>
          <w:szCs w:val="24"/>
        </w:rPr>
        <w:t xml:space="preserve"> “Statutory Mandate”, in the prior section.  </w:t>
      </w:r>
      <w:r w:rsidR="00836313">
        <w:rPr>
          <w:rFonts w:ascii="Times New Roman" w:eastAsia="Times New Roman" w:hAnsi="Times New Roman" w:cs="Times New Roman"/>
          <w:color w:val="000000"/>
          <w:sz w:val="24"/>
          <w:szCs w:val="24"/>
        </w:rPr>
        <w:t xml:space="preserve">As illustrative, </w:t>
      </w:r>
      <w:r w:rsidR="00585CD8">
        <w:rPr>
          <w:rFonts w:ascii="Times New Roman" w:eastAsia="Times New Roman" w:hAnsi="Times New Roman" w:cs="Times New Roman"/>
          <w:color w:val="000000"/>
          <w:sz w:val="24"/>
          <w:szCs w:val="24"/>
        </w:rPr>
        <w:t xml:space="preserve">the </w:t>
      </w:r>
      <w:r w:rsidR="00836313">
        <w:rPr>
          <w:rFonts w:ascii="Times New Roman" w:eastAsia="Times New Roman" w:hAnsi="Times New Roman" w:cs="Times New Roman"/>
          <w:color w:val="000000"/>
          <w:sz w:val="24"/>
          <w:szCs w:val="24"/>
        </w:rPr>
        <w:t>omission, in the pr</w:t>
      </w:r>
      <w:r w:rsidR="001078B8">
        <w:rPr>
          <w:rFonts w:ascii="Times New Roman" w:eastAsia="Times New Roman" w:hAnsi="Times New Roman" w:cs="Times New Roman"/>
          <w:color w:val="000000"/>
          <w:sz w:val="24"/>
          <w:szCs w:val="24"/>
        </w:rPr>
        <w:t>ior</w:t>
      </w:r>
      <w:r w:rsidR="00836313">
        <w:rPr>
          <w:rFonts w:ascii="Times New Roman" w:eastAsia="Times New Roman" w:hAnsi="Times New Roman" w:cs="Times New Roman"/>
          <w:color w:val="000000"/>
          <w:sz w:val="24"/>
          <w:szCs w:val="24"/>
        </w:rPr>
        <w:t xml:space="preserve"> section, of </w:t>
      </w:r>
      <w:r w:rsidR="008D124A" w:rsidRPr="00D00FEB">
        <w:rPr>
          <w:rFonts w:ascii="Times New Roman" w:eastAsia="Times New Roman" w:hAnsi="Times New Roman" w:cs="Times New Roman"/>
          <w:snapToGrid w:val="0"/>
          <w:sz w:val="24"/>
          <w:szCs w:val="24"/>
        </w:rPr>
        <w:t>§</w:t>
      </w:r>
      <w:r w:rsidR="008D124A">
        <w:rPr>
          <w:rFonts w:ascii="Times New Roman" w:eastAsia="Times New Roman" w:hAnsi="Times New Roman" w:cs="Times New Roman"/>
          <w:snapToGrid w:val="0"/>
          <w:sz w:val="24"/>
          <w:szCs w:val="24"/>
        </w:rPr>
        <w:t xml:space="preserve">3.4 and </w:t>
      </w:r>
      <w:r w:rsidR="008D124A" w:rsidRPr="00D00FEB">
        <w:rPr>
          <w:rFonts w:ascii="Times New Roman" w:eastAsia="Times New Roman" w:hAnsi="Times New Roman" w:cs="Times New Roman"/>
          <w:snapToGrid w:val="0"/>
          <w:sz w:val="24"/>
          <w:szCs w:val="24"/>
        </w:rPr>
        <w:t>§</w:t>
      </w:r>
      <w:r w:rsidR="008D124A">
        <w:rPr>
          <w:rFonts w:ascii="Times New Roman" w:eastAsia="Times New Roman" w:hAnsi="Times New Roman" w:cs="Times New Roman"/>
          <w:snapToGrid w:val="0"/>
          <w:sz w:val="24"/>
          <w:szCs w:val="24"/>
        </w:rPr>
        <w:t>3.5</w:t>
      </w:r>
      <w:r w:rsidR="00A16D42">
        <w:rPr>
          <w:rFonts w:ascii="Times New Roman" w:eastAsia="Times New Roman" w:hAnsi="Times New Roman" w:cs="Times New Roman"/>
          <w:snapToGrid w:val="0"/>
          <w:sz w:val="24"/>
          <w:szCs w:val="24"/>
        </w:rPr>
        <w:t xml:space="preserve"> </w:t>
      </w:r>
      <w:r w:rsidR="00836313">
        <w:rPr>
          <w:rFonts w:ascii="Times New Roman" w:eastAsia="Times New Roman" w:hAnsi="Times New Roman" w:cs="Times New Roman"/>
          <w:snapToGrid w:val="0"/>
          <w:sz w:val="24"/>
          <w:szCs w:val="24"/>
        </w:rPr>
        <w:t>of Part HHH, conferring up</w:t>
      </w:r>
      <w:r w:rsidR="00585CD8">
        <w:rPr>
          <w:rFonts w:ascii="Times New Roman" w:eastAsia="Times New Roman" w:hAnsi="Times New Roman" w:cs="Times New Roman"/>
          <w:snapToGrid w:val="0"/>
          <w:sz w:val="24"/>
          <w:szCs w:val="24"/>
        </w:rPr>
        <w:t>on the Committee</w:t>
      </w:r>
      <w:r w:rsidR="00836313">
        <w:rPr>
          <w:rFonts w:ascii="Times New Roman" w:eastAsia="Times New Roman" w:hAnsi="Times New Roman" w:cs="Times New Roman"/>
          <w:snapToGrid w:val="0"/>
          <w:sz w:val="24"/>
          <w:szCs w:val="24"/>
        </w:rPr>
        <w:t xml:space="preserve"> the </w:t>
      </w:r>
      <w:r w:rsidR="00A16D42">
        <w:rPr>
          <w:rFonts w:ascii="Times New Roman" w:eastAsia="Times New Roman" w:hAnsi="Times New Roman" w:cs="Times New Roman"/>
          <w:color w:val="000000"/>
          <w:sz w:val="24"/>
          <w:szCs w:val="24"/>
        </w:rPr>
        <w:t xml:space="preserve">resources </w:t>
      </w:r>
      <w:r w:rsidR="00836313">
        <w:rPr>
          <w:rFonts w:ascii="Times New Roman" w:eastAsia="Times New Roman" w:hAnsi="Times New Roman" w:cs="Times New Roman"/>
          <w:color w:val="000000"/>
          <w:sz w:val="24"/>
          <w:szCs w:val="24"/>
        </w:rPr>
        <w:t xml:space="preserve">to ensure that its </w:t>
      </w:r>
      <w:r w:rsidR="00A16D42">
        <w:rPr>
          <w:rFonts w:ascii="Times New Roman" w:eastAsia="Times New Roman" w:hAnsi="Times New Roman" w:cs="Times New Roman"/>
          <w:color w:val="000000"/>
          <w:sz w:val="24"/>
          <w:szCs w:val="24"/>
        </w:rPr>
        <w:t xml:space="preserve">data collection and </w:t>
      </w:r>
      <w:r w:rsidR="00836313">
        <w:rPr>
          <w:rFonts w:ascii="Times New Roman" w:eastAsia="Times New Roman" w:hAnsi="Times New Roman" w:cs="Times New Roman"/>
          <w:color w:val="000000"/>
          <w:sz w:val="24"/>
          <w:szCs w:val="24"/>
        </w:rPr>
        <w:t>e</w:t>
      </w:r>
      <w:r w:rsidR="00A16D42">
        <w:rPr>
          <w:rFonts w:ascii="Times New Roman" w:eastAsia="Times New Roman" w:hAnsi="Times New Roman" w:cs="Times New Roman"/>
          <w:color w:val="000000"/>
          <w:sz w:val="24"/>
          <w:szCs w:val="24"/>
        </w:rPr>
        <w:t xml:space="preserve">videntiary </w:t>
      </w:r>
      <w:r w:rsidR="00836313">
        <w:rPr>
          <w:rFonts w:ascii="Times New Roman" w:eastAsia="Times New Roman" w:hAnsi="Times New Roman" w:cs="Times New Roman"/>
          <w:color w:val="000000"/>
          <w:sz w:val="24"/>
          <w:szCs w:val="24"/>
        </w:rPr>
        <w:t>review would be thorough</w:t>
      </w:r>
      <w:r w:rsidR="00D17E85">
        <w:rPr>
          <w:rFonts w:ascii="Times New Roman" w:eastAsia="Times New Roman" w:hAnsi="Times New Roman" w:cs="Times New Roman"/>
          <w:color w:val="000000"/>
          <w:sz w:val="24"/>
          <w:szCs w:val="24"/>
        </w:rPr>
        <w:t>, bespeaks th</w:t>
      </w:r>
      <w:r w:rsidR="009F48CD">
        <w:rPr>
          <w:rFonts w:ascii="Times New Roman" w:eastAsia="Times New Roman" w:hAnsi="Times New Roman" w:cs="Times New Roman"/>
          <w:color w:val="000000"/>
          <w:sz w:val="24"/>
          <w:szCs w:val="24"/>
        </w:rPr>
        <w:t>e obvious fact that it</w:t>
      </w:r>
      <w:r w:rsidR="00D17E85">
        <w:rPr>
          <w:rFonts w:ascii="Times New Roman" w:eastAsia="Times New Roman" w:hAnsi="Times New Roman" w:cs="Times New Roman"/>
          <w:color w:val="000000"/>
          <w:sz w:val="24"/>
          <w:szCs w:val="24"/>
        </w:rPr>
        <w:t xml:space="preserve"> has not availed itself of same.  </w:t>
      </w:r>
    </w:p>
    <w:p w14:paraId="65A5791D" w14:textId="77777777" w:rsidR="00D17E85" w:rsidRDefault="00D17E85" w:rsidP="00542E5F">
      <w:pPr>
        <w:spacing w:after="0" w:line="240" w:lineRule="auto"/>
        <w:jc w:val="both"/>
        <w:rPr>
          <w:rFonts w:ascii="Times New Roman" w:eastAsia="Times New Roman" w:hAnsi="Times New Roman" w:cs="Times New Roman"/>
          <w:color w:val="000000"/>
          <w:sz w:val="24"/>
          <w:szCs w:val="24"/>
        </w:rPr>
      </w:pPr>
    </w:p>
    <w:p w14:paraId="0CDCEBD3" w14:textId="356BF35D" w:rsidR="00D03DA1" w:rsidRDefault="00D17E85" w:rsidP="00542E5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6F2477">
        <w:rPr>
          <w:rFonts w:ascii="Times New Roman" w:eastAsia="Times New Roman" w:hAnsi="Times New Roman" w:cs="Times New Roman"/>
          <w:color w:val="000000"/>
          <w:sz w:val="24"/>
          <w:szCs w:val="24"/>
        </w:rPr>
        <w:t xml:space="preserve">he </w:t>
      </w:r>
      <w:r w:rsidR="00DB4068">
        <w:rPr>
          <w:rFonts w:ascii="Times New Roman" w:eastAsia="Times New Roman" w:hAnsi="Times New Roman" w:cs="Times New Roman"/>
          <w:color w:val="000000"/>
          <w:sz w:val="24"/>
          <w:szCs w:val="24"/>
        </w:rPr>
        <w:t>Committee’s so-called “findings”</w:t>
      </w:r>
      <w:r w:rsidR="00542E5F">
        <w:rPr>
          <w:rFonts w:ascii="Times New Roman" w:eastAsia="Times New Roman" w:hAnsi="Times New Roman" w:cs="Times New Roman"/>
          <w:color w:val="000000"/>
          <w:sz w:val="24"/>
          <w:szCs w:val="24"/>
        </w:rPr>
        <w:t xml:space="preserve"> </w:t>
      </w:r>
      <w:r w:rsidR="00DB4068">
        <w:rPr>
          <w:rFonts w:ascii="Times New Roman" w:eastAsia="Times New Roman" w:hAnsi="Times New Roman" w:cs="Times New Roman"/>
          <w:color w:val="000000"/>
          <w:sz w:val="24"/>
          <w:szCs w:val="24"/>
        </w:rPr>
        <w:t>are</w:t>
      </w:r>
      <w:r w:rsidR="00542E5F">
        <w:rPr>
          <w:rFonts w:ascii="Times New Roman" w:eastAsia="Times New Roman" w:hAnsi="Times New Roman" w:cs="Times New Roman"/>
          <w:color w:val="000000"/>
          <w:sz w:val="24"/>
          <w:szCs w:val="24"/>
        </w:rPr>
        <w:t>, as hereinafter shown,</w:t>
      </w:r>
      <w:r w:rsidR="00DB4068">
        <w:rPr>
          <w:rFonts w:ascii="Times New Roman" w:eastAsia="Times New Roman" w:hAnsi="Times New Roman" w:cs="Times New Roman"/>
          <w:color w:val="000000"/>
          <w:sz w:val="24"/>
          <w:szCs w:val="24"/>
        </w:rPr>
        <w:t xml:space="preserve"> devoid of both evidentiary and legal support – and contrived. </w:t>
      </w:r>
      <w:r w:rsidR="009F48CD">
        <w:rPr>
          <w:rFonts w:ascii="Times New Roman" w:eastAsia="Times New Roman" w:hAnsi="Times New Roman" w:cs="Times New Roman"/>
          <w:color w:val="000000"/>
          <w:sz w:val="24"/>
          <w:szCs w:val="24"/>
        </w:rPr>
        <w:t xml:space="preserve"> Indeed, this would have been revealed had it made ANY “findings”  addressed to the “public testimony and extensive written submissions” of opposition witnesses such as </w:t>
      </w:r>
      <w:r w:rsidR="00B24AE3">
        <w:rPr>
          <w:rFonts w:ascii="Times New Roman" w:eastAsia="Times New Roman" w:hAnsi="Times New Roman" w:cs="Times New Roman"/>
          <w:color w:val="000000"/>
          <w:sz w:val="24"/>
          <w:szCs w:val="24"/>
        </w:rPr>
        <w:t>CJA director</w:t>
      </w:r>
      <w:r w:rsidR="009F48CD">
        <w:rPr>
          <w:rFonts w:ascii="Times New Roman" w:eastAsia="Times New Roman" w:hAnsi="Times New Roman" w:cs="Times New Roman"/>
          <w:color w:val="000000"/>
          <w:sz w:val="24"/>
          <w:szCs w:val="24"/>
        </w:rPr>
        <w:t xml:space="preserve"> Sassower.</w:t>
      </w:r>
    </w:p>
    <w:p w14:paraId="17B5575D" w14:textId="77777777" w:rsidR="00D03DA1" w:rsidRDefault="00D03DA1" w:rsidP="00542E5F">
      <w:pPr>
        <w:spacing w:after="0" w:line="240" w:lineRule="auto"/>
        <w:jc w:val="both"/>
        <w:rPr>
          <w:rFonts w:ascii="Times New Roman" w:eastAsia="Times New Roman" w:hAnsi="Times New Roman" w:cs="Times New Roman"/>
          <w:color w:val="000000"/>
          <w:sz w:val="24"/>
          <w:szCs w:val="24"/>
        </w:rPr>
      </w:pPr>
    </w:p>
    <w:p w14:paraId="22E53755" w14:textId="40983DBB" w:rsidR="00D03DA1" w:rsidRDefault="00D03DA1" w:rsidP="00D03D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Suffice to say that the Committee’s reference to its “own research” is not itemized by any appendix listing of what </w:t>
      </w:r>
      <w:r w:rsidR="0067358E">
        <w:rPr>
          <w:rFonts w:ascii="Times New Roman" w:eastAsia="Times New Roman" w:hAnsi="Times New Roman" w:cs="Times New Roman"/>
          <w:color w:val="000000"/>
          <w:sz w:val="24"/>
          <w:szCs w:val="24"/>
        </w:rPr>
        <w:t>that “research”</w:t>
      </w:r>
      <w:r>
        <w:rPr>
          <w:rFonts w:ascii="Times New Roman" w:eastAsia="Times New Roman" w:hAnsi="Times New Roman" w:cs="Times New Roman"/>
          <w:color w:val="000000"/>
          <w:sz w:val="24"/>
          <w:szCs w:val="24"/>
        </w:rPr>
        <w:t xml:space="preserve"> consists of, just as there is no appendix listing of the “extensive written submissions” to which it refers</w:t>
      </w:r>
      <w:r w:rsidR="006C2C60">
        <w:rPr>
          <w:rFonts w:ascii="Times New Roman" w:eastAsia="Times New Roman" w:hAnsi="Times New Roman" w:cs="Times New Roman"/>
          <w:color w:val="000000"/>
          <w:sz w:val="24"/>
          <w:szCs w:val="24"/>
        </w:rPr>
        <w:t>, without elaboration</w:t>
      </w:r>
      <w:r>
        <w:rPr>
          <w:rFonts w:ascii="Times New Roman" w:eastAsia="Times New Roman" w:hAnsi="Times New Roman" w:cs="Times New Roman"/>
          <w:color w:val="000000"/>
          <w:sz w:val="24"/>
          <w:szCs w:val="24"/>
        </w:rPr>
        <w:t xml:space="preserve">.  </w:t>
      </w:r>
      <w:r w:rsidR="005A7C02">
        <w:rPr>
          <w:rFonts w:ascii="Times New Roman" w:eastAsia="Times New Roman" w:hAnsi="Times New Roman" w:cs="Times New Roman"/>
          <w:color w:val="000000"/>
          <w:sz w:val="24"/>
          <w:szCs w:val="24"/>
        </w:rPr>
        <w:t xml:space="preserve">In that regard, the Committee’s website does not post any “extensive written submissions”, even where, as in the case of the limited correspondence and written statements it includes, enclosures and attachments are indicated.  As an example, </w:t>
      </w:r>
      <w:r>
        <w:rPr>
          <w:rFonts w:ascii="Times New Roman" w:eastAsia="Times New Roman" w:hAnsi="Times New Roman" w:cs="Times New Roman"/>
          <w:color w:val="000000"/>
          <w:sz w:val="24"/>
          <w:szCs w:val="24"/>
        </w:rPr>
        <w:t xml:space="preserve">   </w:t>
      </w:r>
    </w:p>
    <w:p w14:paraId="3338A0F6" w14:textId="1E83DACE" w:rsidR="004D3766" w:rsidRDefault="004D3766" w:rsidP="00912C50">
      <w:pPr>
        <w:spacing w:after="0" w:line="240" w:lineRule="auto"/>
        <w:rPr>
          <w:rFonts w:ascii="Times New Roman" w:eastAsia="Times New Roman" w:hAnsi="Times New Roman" w:cs="Times New Roman"/>
          <w:color w:val="000000"/>
          <w:sz w:val="24"/>
          <w:szCs w:val="24"/>
        </w:rPr>
      </w:pPr>
    </w:p>
    <w:p w14:paraId="5877F18D" w14:textId="4D44BF8E" w:rsidR="008B077F" w:rsidRPr="008B077F" w:rsidRDefault="008B077F" w:rsidP="008B077F">
      <w:pPr>
        <w:spacing w:after="0" w:line="240" w:lineRule="auto"/>
        <w:ind w:right="720"/>
        <w:jc w:val="both"/>
        <w:rPr>
          <w:rFonts w:ascii="Times New Roman" w:eastAsia="Calibri" w:hAnsi="Times New Roman" w:cs="Times New Roman"/>
          <w:b/>
          <w:snapToGrid w:val="0"/>
          <w:sz w:val="24"/>
          <w:szCs w:val="24"/>
        </w:rPr>
      </w:pPr>
      <w:r w:rsidRPr="008B077F">
        <w:rPr>
          <w:rFonts w:ascii="Times New Roman" w:eastAsia="Calibri" w:hAnsi="Times New Roman" w:cs="Times New Roman"/>
          <w:b/>
          <w:snapToGrid w:val="0"/>
          <w:sz w:val="24"/>
          <w:szCs w:val="24"/>
          <w:u w:val="single"/>
        </w:rPr>
        <w:t>Paragraph #1</w:t>
      </w:r>
      <w:r w:rsidRPr="008B077F">
        <w:rPr>
          <w:rFonts w:ascii="Times New Roman" w:eastAsia="Calibri" w:hAnsi="Times New Roman" w:cs="Times New Roman"/>
          <w:b/>
          <w:snapToGrid w:val="0"/>
          <w:sz w:val="24"/>
          <w:szCs w:val="24"/>
        </w:rPr>
        <w:t>:</w:t>
      </w:r>
    </w:p>
    <w:p w14:paraId="0C7A8212" w14:textId="77777777" w:rsidR="008B077F" w:rsidRPr="008B077F" w:rsidRDefault="008B077F" w:rsidP="008B077F">
      <w:pPr>
        <w:spacing w:after="0" w:line="240" w:lineRule="auto"/>
        <w:ind w:right="720"/>
        <w:jc w:val="both"/>
        <w:rPr>
          <w:rFonts w:ascii="Times New Roman" w:eastAsia="Calibri" w:hAnsi="Times New Roman" w:cs="Times New Roman"/>
          <w:snapToGrid w:val="0"/>
          <w:sz w:val="24"/>
          <w:szCs w:val="24"/>
        </w:rPr>
      </w:pPr>
    </w:p>
    <w:p w14:paraId="52DCA9D4" w14:textId="77777777" w:rsidR="008B077F" w:rsidRPr="008B077F" w:rsidRDefault="008B077F" w:rsidP="003B171B">
      <w:pPr>
        <w:spacing w:after="0" w:line="240" w:lineRule="auto"/>
        <w:ind w:left="1152" w:right="1152"/>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“This Committee is tasked with considering, among other things, the parties’ performance and timely fulfillment of their statutory and Constitutional responsibilities.  Indeed, the receipt of any phased-in increase is statutorily conditioned upon the fulfillment of these obligations as a legislative body, as well as on-time budget passage in the prior year.</w:t>
      </w:r>
    </w:p>
    <w:p w14:paraId="766C1A2E" w14:textId="77777777" w:rsidR="008B077F" w:rsidRPr="008B077F" w:rsidRDefault="008B077F" w:rsidP="003B171B">
      <w:pPr>
        <w:spacing w:after="0" w:line="240" w:lineRule="auto"/>
        <w:ind w:left="1152" w:right="1152"/>
        <w:jc w:val="both"/>
        <w:rPr>
          <w:rFonts w:ascii="Times New Roman" w:eastAsia="Calibri" w:hAnsi="Times New Roman" w:cs="Times New Roman"/>
          <w:snapToGrid w:val="0"/>
          <w:sz w:val="24"/>
          <w:szCs w:val="24"/>
        </w:rPr>
      </w:pPr>
    </w:p>
    <w:p w14:paraId="2C3553B1" w14:textId="586A4222" w:rsidR="008B077F" w:rsidRDefault="006C2C60" w:rsidP="003B171B">
      <w:pPr>
        <w:spacing w:after="0" w:line="240" w:lineRule="auto"/>
        <w:jc w:val="both"/>
        <w:rPr>
          <w:rFonts w:ascii="Times New Roman" w:eastAsia="Times New Roman" w:hAnsi="Times New Roman" w:cs="Times New Roman"/>
          <w:snapToGrid w:val="0"/>
          <w:sz w:val="24"/>
          <w:szCs w:val="24"/>
        </w:rPr>
      </w:pPr>
      <w:r>
        <w:rPr>
          <w:rFonts w:ascii="Times New Roman" w:eastAsia="Calibri" w:hAnsi="Times New Roman" w:cs="Times New Roman"/>
          <w:snapToGrid w:val="0"/>
          <w:sz w:val="24"/>
          <w:szCs w:val="24"/>
        </w:rPr>
        <w:t xml:space="preserve">This </w:t>
      </w:r>
      <w:r w:rsidR="00E81929">
        <w:rPr>
          <w:rFonts w:ascii="Times New Roman" w:eastAsia="Calibri" w:hAnsi="Times New Roman" w:cs="Times New Roman"/>
          <w:snapToGrid w:val="0"/>
          <w:sz w:val="24"/>
          <w:szCs w:val="24"/>
        </w:rPr>
        <w:t xml:space="preserve">first </w:t>
      </w:r>
      <w:r>
        <w:rPr>
          <w:rFonts w:ascii="Times New Roman" w:eastAsia="Calibri" w:hAnsi="Times New Roman" w:cs="Times New Roman"/>
          <w:snapToGrid w:val="0"/>
          <w:sz w:val="24"/>
          <w:szCs w:val="24"/>
        </w:rPr>
        <w:t xml:space="preserve">paragraph refers to </w:t>
      </w:r>
      <w:r w:rsidR="00DB4EF5">
        <w:rPr>
          <w:rFonts w:ascii="Times New Roman" w:eastAsia="Calibri" w:hAnsi="Times New Roman" w:cs="Times New Roman"/>
          <w:snapToGrid w:val="0"/>
          <w:sz w:val="24"/>
          <w:szCs w:val="24"/>
        </w:rPr>
        <w:t xml:space="preserve">the first “appropriate” factor delineated by </w:t>
      </w:r>
      <w:r w:rsidR="00DB4EF5" w:rsidRPr="00D00FEB">
        <w:rPr>
          <w:rFonts w:ascii="Times New Roman" w:eastAsia="Times New Roman" w:hAnsi="Times New Roman" w:cs="Times New Roman"/>
          <w:snapToGrid w:val="0"/>
          <w:sz w:val="24"/>
          <w:szCs w:val="24"/>
        </w:rPr>
        <w:t>§</w:t>
      </w:r>
      <w:r w:rsidR="00DB4EF5">
        <w:rPr>
          <w:rFonts w:ascii="Times New Roman" w:eastAsia="Times New Roman" w:hAnsi="Times New Roman" w:cs="Times New Roman"/>
          <w:snapToGrid w:val="0"/>
          <w:sz w:val="24"/>
          <w:szCs w:val="24"/>
        </w:rPr>
        <w:t>2.3</w:t>
      </w:r>
      <w:r w:rsidR="00DB4EF5" w:rsidRPr="008B077F">
        <w:rPr>
          <w:rFonts w:ascii="Times New Roman" w:eastAsia="Times New Roman" w:hAnsi="Times New Roman" w:cs="Times New Roman"/>
          <w:snapToGrid w:val="0"/>
          <w:sz w:val="24"/>
          <w:szCs w:val="24"/>
        </w:rPr>
        <w:t xml:space="preserve"> of </w:t>
      </w:r>
      <w:r w:rsidR="00DB4EF5">
        <w:rPr>
          <w:rFonts w:ascii="Times New Roman" w:eastAsia="Times New Roman" w:hAnsi="Times New Roman" w:cs="Times New Roman"/>
          <w:snapToGrid w:val="0"/>
          <w:sz w:val="24"/>
          <w:szCs w:val="24"/>
        </w:rPr>
        <w:t xml:space="preserve">Part HHH – and the condition for phased-in increases set forth by </w:t>
      </w:r>
      <w:r w:rsidR="00DB4EF5" w:rsidRPr="00D00FEB">
        <w:rPr>
          <w:rFonts w:ascii="Times New Roman" w:eastAsia="Times New Roman" w:hAnsi="Times New Roman" w:cs="Times New Roman"/>
          <w:snapToGrid w:val="0"/>
          <w:sz w:val="24"/>
          <w:szCs w:val="24"/>
        </w:rPr>
        <w:t>§</w:t>
      </w:r>
      <w:r w:rsidR="00DB4EF5">
        <w:rPr>
          <w:rFonts w:ascii="Times New Roman" w:eastAsia="Times New Roman" w:hAnsi="Times New Roman" w:cs="Times New Roman"/>
          <w:snapToGrid w:val="0"/>
          <w:sz w:val="24"/>
          <w:szCs w:val="24"/>
        </w:rPr>
        <w:t>2.</w:t>
      </w:r>
      <w:r w:rsidR="00DB4EF5" w:rsidRPr="008B077F">
        <w:rPr>
          <w:rFonts w:ascii="Times New Roman" w:eastAsia="Times New Roman" w:hAnsi="Times New Roman" w:cs="Times New Roman"/>
          <w:snapToGrid w:val="0"/>
          <w:sz w:val="24"/>
          <w:szCs w:val="24"/>
        </w:rPr>
        <w:t>4</w:t>
      </w:r>
      <w:r w:rsidR="00DB4EF5">
        <w:rPr>
          <w:rFonts w:ascii="Times New Roman" w:eastAsia="Times New Roman" w:hAnsi="Times New Roman" w:cs="Times New Roman"/>
          <w:snapToGrid w:val="0"/>
          <w:sz w:val="24"/>
          <w:szCs w:val="24"/>
        </w:rPr>
        <w:t>(</w:t>
      </w:r>
      <w:r w:rsidR="00DB4EF5" w:rsidRPr="008B077F">
        <w:rPr>
          <w:rFonts w:ascii="Times New Roman" w:eastAsia="Times New Roman" w:hAnsi="Times New Roman" w:cs="Times New Roman"/>
          <w:snapToGrid w:val="0"/>
          <w:sz w:val="24"/>
          <w:szCs w:val="24"/>
        </w:rPr>
        <w:t>b</w:t>
      </w:r>
      <w:r w:rsidR="00DB4EF5">
        <w:rPr>
          <w:rFonts w:ascii="Times New Roman" w:eastAsia="Times New Roman" w:hAnsi="Times New Roman" w:cs="Times New Roman"/>
          <w:snapToGrid w:val="0"/>
          <w:sz w:val="24"/>
          <w:szCs w:val="24"/>
        </w:rPr>
        <w:t>)</w:t>
      </w:r>
      <w:r w:rsidR="00DB4EF5" w:rsidRPr="008B077F">
        <w:rPr>
          <w:rFonts w:ascii="Times New Roman" w:eastAsia="Times New Roman" w:hAnsi="Times New Roman" w:cs="Times New Roman"/>
          <w:snapToGrid w:val="0"/>
          <w:sz w:val="24"/>
          <w:szCs w:val="24"/>
        </w:rPr>
        <w:t xml:space="preserve">, and </w:t>
      </w:r>
      <w:r w:rsidR="00DB4EF5" w:rsidRPr="00D00FEB">
        <w:rPr>
          <w:rFonts w:ascii="Times New Roman" w:eastAsia="Times New Roman" w:hAnsi="Times New Roman" w:cs="Times New Roman"/>
          <w:snapToGrid w:val="0"/>
          <w:sz w:val="24"/>
          <w:szCs w:val="24"/>
        </w:rPr>
        <w:t>§</w:t>
      </w:r>
      <w:r w:rsidR="00DB4EF5">
        <w:rPr>
          <w:rFonts w:ascii="Times New Roman" w:eastAsia="Times New Roman" w:hAnsi="Times New Roman" w:cs="Times New Roman"/>
          <w:snapToGrid w:val="0"/>
          <w:sz w:val="24"/>
          <w:szCs w:val="24"/>
        </w:rPr>
        <w:t>2.</w:t>
      </w:r>
      <w:r w:rsidR="00DB4EF5" w:rsidRPr="008B077F">
        <w:rPr>
          <w:rFonts w:ascii="Times New Roman" w:eastAsia="Times New Roman" w:hAnsi="Times New Roman" w:cs="Times New Roman"/>
          <w:snapToGrid w:val="0"/>
          <w:sz w:val="24"/>
          <w:szCs w:val="24"/>
        </w:rPr>
        <w:t>4</w:t>
      </w:r>
      <w:r w:rsidR="00DB4EF5">
        <w:rPr>
          <w:rFonts w:ascii="Times New Roman" w:eastAsia="Times New Roman" w:hAnsi="Times New Roman" w:cs="Times New Roman"/>
          <w:snapToGrid w:val="0"/>
          <w:sz w:val="24"/>
          <w:szCs w:val="24"/>
        </w:rPr>
        <w:t xml:space="preserve">(c).  However, it has substituted </w:t>
      </w:r>
      <w:r w:rsidR="008B077F" w:rsidRPr="008B077F">
        <w:rPr>
          <w:rFonts w:ascii="Times New Roman" w:eastAsia="Times New Roman" w:hAnsi="Times New Roman" w:cs="Times New Roman"/>
          <w:snapToGrid w:val="0"/>
          <w:sz w:val="24"/>
          <w:szCs w:val="24"/>
        </w:rPr>
        <w:t xml:space="preserve"> the phrase “on-time budget passage”, which does </w:t>
      </w:r>
      <w:r w:rsidR="008B077F" w:rsidRPr="00874555">
        <w:rPr>
          <w:rFonts w:ascii="Times New Roman" w:eastAsia="Times New Roman" w:hAnsi="Times New Roman" w:cs="Times New Roman"/>
          <w:snapToGrid w:val="0"/>
          <w:sz w:val="24"/>
          <w:szCs w:val="24"/>
          <w:u w:val="single"/>
        </w:rPr>
        <w:t>not</w:t>
      </w:r>
      <w:r w:rsidR="008B077F" w:rsidRPr="008B077F">
        <w:rPr>
          <w:rFonts w:ascii="Times New Roman" w:eastAsia="Times New Roman" w:hAnsi="Times New Roman" w:cs="Times New Roman"/>
          <w:snapToGrid w:val="0"/>
          <w:sz w:val="24"/>
          <w:szCs w:val="24"/>
        </w:rPr>
        <w:t xml:space="preserve"> appear in any of these provisions, for the phrase “timely legislative passage of the budget”, which is the language of </w:t>
      </w:r>
      <w:r w:rsidR="00275E15" w:rsidRPr="00D00FEB">
        <w:rPr>
          <w:rFonts w:ascii="Times New Roman" w:eastAsia="Times New Roman" w:hAnsi="Times New Roman" w:cs="Times New Roman"/>
          <w:snapToGrid w:val="0"/>
          <w:sz w:val="24"/>
          <w:szCs w:val="24"/>
        </w:rPr>
        <w:t>§</w:t>
      </w:r>
      <w:r w:rsidR="00275E15">
        <w:rPr>
          <w:rFonts w:ascii="Times New Roman" w:eastAsia="Times New Roman" w:hAnsi="Times New Roman" w:cs="Times New Roman"/>
          <w:snapToGrid w:val="0"/>
          <w:sz w:val="24"/>
          <w:szCs w:val="24"/>
        </w:rPr>
        <w:t>2.</w:t>
      </w:r>
      <w:r w:rsidR="008B077F" w:rsidRPr="008B077F">
        <w:rPr>
          <w:rFonts w:ascii="Times New Roman" w:eastAsia="Times New Roman" w:hAnsi="Times New Roman" w:cs="Times New Roman"/>
          <w:snapToGrid w:val="0"/>
          <w:sz w:val="24"/>
          <w:szCs w:val="24"/>
        </w:rPr>
        <w:t>4</w:t>
      </w:r>
      <w:r w:rsidR="00275E15">
        <w:rPr>
          <w:rFonts w:ascii="Times New Roman" w:eastAsia="Times New Roman" w:hAnsi="Times New Roman" w:cs="Times New Roman"/>
          <w:snapToGrid w:val="0"/>
          <w:sz w:val="24"/>
          <w:szCs w:val="24"/>
        </w:rPr>
        <w:t>(</w:t>
      </w:r>
      <w:r w:rsidR="008B077F" w:rsidRPr="008B077F">
        <w:rPr>
          <w:rFonts w:ascii="Times New Roman" w:eastAsia="Times New Roman" w:hAnsi="Times New Roman" w:cs="Times New Roman"/>
          <w:snapToGrid w:val="0"/>
          <w:sz w:val="24"/>
          <w:szCs w:val="24"/>
        </w:rPr>
        <w:t>b</w:t>
      </w:r>
      <w:r w:rsidR="00275E15">
        <w:rPr>
          <w:rFonts w:ascii="Times New Roman" w:eastAsia="Times New Roman" w:hAnsi="Times New Roman" w:cs="Times New Roman"/>
          <w:snapToGrid w:val="0"/>
          <w:sz w:val="24"/>
          <w:szCs w:val="24"/>
        </w:rPr>
        <w:t>)</w:t>
      </w:r>
      <w:r w:rsidR="008B077F" w:rsidRPr="008B077F">
        <w:rPr>
          <w:rFonts w:ascii="Times New Roman" w:eastAsia="Times New Roman" w:hAnsi="Times New Roman" w:cs="Times New Roman"/>
          <w:snapToGrid w:val="0"/>
          <w:sz w:val="24"/>
          <w:szCs w:val="24"/>
        </w:rPr>
        <w:t xml:space="preserve">. </w:t>
      </w:r>
    </w:p>
    <w:p w14:paraId="08F56A03" w14:textId="77777777" w:rsidR="003B171B" w:rsidRPr="008B077F" w:rsidRDefault="003B171B" w:rsidP="003B171B">
      <w:pPr>
        <w:spacing w:after="0" w:line="240" w:lineRule="auto"/>
        <w:jc w:val="both"/>
        <w:rPr>
          <w:rFonts w:ascii="Times New Roman" w:eastAsia="Times New Roman" w:hAnsi="Times New Roman" w:cs="Times New Roman"/>
          <w:snapToGrid w:val="0"/>
          <w:sz w:val="24"/>
          <w:szCs w:val="24"/>
        </w:rPr>
      </w:pPr>
    </w:p>
    <w:p w14:paraId="14D8863E" w14:textId="2BD796E0" w:rsidR="008B077F" w:rsidRPr="008B077F" w:rsidRDefault="008B077F" w:rsidP="008B077F">
      <w:pPr>
        <w:spacing w:after="0" w:line="480" w:lineRule="auto"/>
        <w:jc w:val="both"/>
        <w:rPr>
          <w:rFonts w:ascii="Times New Roman" w:eastAsia="Calibri" w:hAnsi="Times New Roman" w:cs="Times New Roman"/>
          <w:b/>
          <w:snapToGrid w:val="0"/>
          <w:sz w:val="24"/>
          <w:szCs w:val="24"/>
        </w:rPr>
      </w:pPr>
      <w:r w:rsidRPr="008B077F">
        <w:rPr>
          <w:rFonts w:ascii="Times New Roman" w:eastAsia="Calibri" w:hAnsi="Times New Roman" w:cs="Times New Roman"/>
          <w:b/>
          <w:snapToGrid w:val="0"/>
          <w:sz w:val="24"/>
          <w:szCs w:val="24"/>
          <w:u w:val="single"/>
        </w:rPr>
        <w:t>Paragraph #2</w:t>
      </w:r>
      <w:r w:rsidRPr="008B077F">
        <w:rPr>
          <w:rFonts w:ascii="Times New Roman" w:eastAsia="Calibri" w:hAnsi="Times New Roman" w:cs="Times New Roman"/>
          <w:b/>
          <w:snapToGrid w:val="0"/>
          <w:sz w:val="24"/>
          <w:szCs w:val="24"/>
        </w:rPr>
        <w:t>:</w:t>
      </w:r>
    </w:p>
    <w:p w14:paraId="51A2C34D" w14:textId="77777777" w:rsidR="008B077F" w:rsidRPr="008B077F" w:rsidRDefault="008B077F" w:rsidP="003B171B">
      <w:pPr>
        <w:spacing w:after="0" w:line="240" w:lineRule="auto"/>
        <w:ind w:left="1152" w:right="1152"/>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“On-time budget passage occurs when both houses finally act upon the executive budget submission in accordance with Article VII of the Constitution, by April 1, with appropriations sufficient to support the ongoing operation and support for state government and local assistance for the ensuing fiscal year (hereinafter defined as ‘on-time budget passage’).  Satisfaction of the condition of on-time budget passage is readily ascertainable.  This year, 2018, the Governor and Legislature enacted an on-time budget.”</w:t>
      </w:r>
    </w:p>
    <w:p w14:paraId="6C2B4573" w14:textId="77777777" w:rsidR="008B077F" w:rsidRPr="008B077F" w:rsidRDefault="008B077F" w:rsidP="008B077F">
      <w:pPr>
        <w:spacing w:after="0" w:line="240" w:lineRule="auto"/>
        <w:ind w:left="1440" w:right="1440"/>
        <w:jc w:val="both"/>
        <w:rPr>
          <w:rFonts w:ascii="Times New Roman" w:eastAsia="Calibri" w:hAnsi="Times New Roman" w:cs="Times New Roman"/>
          <w:snapToGrid w:val="0"/>
          <w:sz w:val="24"/>
          <w:szCs w:val="24"/>
        </w:rPr>
      </w:pPr>
    </w:p>
    <w:p w14:paraId="434A4E3D" w14:textId="00883BE0" w:rsidR="002E6DFF" w:rsidRDefault="008B077F" w:rsidP="00FF429A">
      <w:pPr>
        <w:spacing w:after="0" w:line="240" w:lineRule="auto"/>
        <w:jc w:val="both"/>
        <w:rPr>
          <w:rFonts w:ascii="Times New Roman" w:eastAsia="Times New Roman" w:hAnsi="Times New Roman" w:cs="Times New Roman"/>
          <w:snapToGrid w:val="0"/>
          <w:sz w:val="24"/>
          <w:szCs w:val="24"/>
        </w:rPr>
      </w:pPr>
      <w:r w:rsidRPr="008B077F">
        <w:rPr>
          <w:rFonts w:ascii="Times New Roman" w:eastAsia="Calibri" w:hAnsi="Times New Roman" w:cs="Times New Roman"/>
          <w:snapToGrid w:val="0"/>
          <w:sz w:val="24"/>
          <w:szCs w:val="24"/>
        </w:rPr>
        <w:t>Th</w:t>
      </w:r>
      <w:r w:rsidR="00CB440E">
        <w:rPr>
          <w:rFonts w:ascii="Times New Roman" w:eastAsia="Calibri" w:hAnsi="Times New Roman" w:cs="Times New Roman"/>
          <w:snapToGrid w:val="0"/>
          <w:sz w:val="24"/>
          <w:szCs w:val="24"/>
        </w:rPr>
        <w:t xml:space="preserve">is </w:t>
      </w:r>
      <w:r w:rsidR="00E81929">
        <w:rPr>
          <w:rFonts w:ascii="Times New Roman" w:eastAsia="Calibri" w:hAnsi="Times New Roman" w:cs="Times New Roman"/>
          <w:snapToGrid w:val="0"/>
          <w:sz w:val="24"/>
          <w:szCs w:val="24"/>
        </w:rPr>
        <w:t xml:space="preserve">second </w:t>
      </w:r>
      <w:r w:rsidR="00CB440E">
        <w:rPr>
          <w:rFonts w:ascii="Times New Roman" w:eastAsia="Calibri" w:hAnsi="Times New Roman" w:cs="Times New Roman"/>
          <w:snapToGrid w:val="0"/>
          <w:sz w:val="24"/>
          <w:szCs w:val="24"/>
        </w:rPr>
        <w:t>paragraph</w:t>
      </w:r>
      <w:r w:rsidRPr="008B077F">
        <w:rPr>
          <w:rFonts w:ascii="Times New Roman" w:eastAsia="Calibri" w:hAnsi="Times New Roman" w:cs="Times New Roman"/>
          <w:snapToGrid w:val="0"/>
          <w:sz w:val="24"/>
          <w:szCs w:val="24"/>
        </w:rPr>
        <w:t xml:space="preserve"> now builds on </w:t>
      </w:r>
      <w:r w:rsidR="00542E5F">
        <w:rPr>
          <w:rFonts w:ascii="Times New Roman" w:eastAsia="Calibri" w:hAnsi="Times New Roman" w:cs="Times New Roman"/>
          <w:snapToGrid w:val="0"/>
          <w:sz w:val="24"/>
          <w:szCs w:val="24"/>
        </w:rPr>
        <w:t>the</w:t>
      </w:r>
      <w:r w:rsidRPr="008B077F">
        <w:rPr>
          <w:rFonts w:ascii="Times New Roman" w:eastAsia="Calibri" w:hAnsi="Times New Roman" w:cs="Times New Roman"/>
          <w:snapToGrid w:val="0"/>
          <w:sz w:val="24"/>
          <w:szCs w:val="24"/>
        </w:rPr>
        <w:t xml:space="preserve"> substituted phrase “On-time budget” by repeating it in each of </w:t>
      </w:r>
      <w:r w:rsidR="00CB440E">
        <w:rPr>
          <w:rFonts w:ascii="Times New Roman" w:eastAsia="Calibri" w:hAnsi="Times New Roman" w:cs="Times New Roman"/>
          <w:snapToGrid w:val="0"/>
          <w:sz w:val="24"/>
          <w:szCs w:val="24"/>
        </w:rPr>
        <w:t>its</w:t>
      </w:r>
      <w:r w:rsidRPr="008B077F">
        <w:rPr>
          <w:rFonts w:ascii="Times New Roman" w:eastAsia="Calibri" w:hAnsi="Times New Roman" w:cs="Times New Roman"/>
          <w:snapToGrid w:val="0"/>
          <w:sz w:val="24"/>
          <w:szCs w:val="24"/>
        </w:rPr>
        <w:t xml:space="preserve"> three sentences and by adding the date </w:t>
      </w:r>
      <w:r w:rsidRPr="008B077F">
        <w:rPr>
          <w:rFonts w:ascii="Times New Roman" w:eastAsia="Times New Roman" w:hAnsi="Times New Roman" w:cs="Times New Roman"/>
          <w:snapToGrid w:val="0"/>
          <w:sz w:val="24"/>
          <w:szCs w:val="24"/>
        </w:rPr>
        <w:t>“April 1” to its first sentence paraphrase of Legislative Law §5</w:t>
      </w:r>
      <w:r w:rsidR="00CB440E">
        <w:rPr>
          <w:rFonts w:ascii="Times New Roman" w:eastAsia="Times New Roman" w:hAnsi="Times New Roman" w:cs="Times New Roman"/>
          <w:snapToGrid w:val="0"/>
          <w:sz w:val="24"/>
          <w:szCs w:val="24"/>
        </w:rPr>
        <w:t>.</w:t>
      </w:r>
      <w:r w:rsidRPr="008B077F">
        <w:rPr>
          <w:rFonts w:ascii="Times New Roman" w:eastAsia="Times New Roman" w:hAnsi="Times New Roman" w:cs="Times New Roman"/>
          <w:snapToGrid w:val="0"/>
          <w:sz w:val="24"/>
          <w:szCs w:val="24"/>
        </w:rPr>
        <w:t>3</w:t>
      </w:r>
      <w:r w:rsidR="00F7115D">
        <w:rPr>
          <w:rFonts w:ascii="Times New Roman" w:eastAsia="Times New Roman" w:hAnsi="Times New Roman" w:cs="Times New Roman"/>
          <w:snapToGrid w:val="0"/>
          <w:sz w:val="24"/>
          <w:szCs w:val="24"/>
        </w:rPr>
        <w:t xml:space="preserve">.  </w:t>
      </w:r>
      <w:r w:rsidRPr="008B077F">
        <w:rPr>
          <w:rFonts w:ascii="Times New Roman" w:eastAsia="Times New Roman" w:hAnsi="Times New Roman" w:cs="Times New Roman"/>
          <w:snapToGrid w:val="0"/>
          <w:sz w:val="24"/>
          <w:szCs w:val="24"/>
        </w:rPr>
        <w:t xml:space="preserve">Legislative Law </w:t>
      </w:r>
      <w:bookmarkStart w:id="7" w:name="_Hlk534551658"/>
      <w:r w:rsidRPr="008B077F">
        <w:rPr>
          <w:rFonts w:ascii="Times New Roman" w:eastAsia="Times New Roman" w:hAnsi="Times New Roman" w:cs="Times New Roman"/>
          <w:snapToGrid w:val="0"/>
          <w:sz w:val="24"/>
          <w:szCs w:val="24"/>
        </w:rPr>
        <w:t>§</w:t>
      </w:r>
      <w:bookmarkEnd w:id="7"/>
      <w:r w:rsidRPr="008B077F">
        <w:rPr>
          <w:rFonts w:ascii="Times New Roman" w:eastAsia="Times New Roman" w:hAnsi="Times New Roman" w:cs="Times New Roman"/>
          <w:snapToGrid w:val="0"/>
          <w:sz w:val="24"/>
          <w:szCs w:val="24"/>
        </w:rPr>
        <w:t>5</w:t>
      </w:r>
      <w:r w:rsidR="00CB440E">
        <w:rPr>
          <w:rFonts w:ascii="Times New Roman" w:eastAsia="Times New Roman" w:hAnsi="Times New Roman" w:cs="Times New Roman"/>
          <w:snapToGrid w:val="0"/>
          <w:sz w:val="24"/>
          <w:szCs w:val="24"/>
        </w:rPr>
        <w:t>.</w:t>
      </w:r>
      <w:r w:rsidRPr="008B077F">
        <w:rPr>
          <w:rFonts w:ascii="Times New Roman" w:eastAsia="Times New Roman" w:hAnsi="Times New Roman" w:cs="Times New Roman"/>
          <w:snapToGrid w:val="0"/>
          <w:sz w:val="24"/>
          <w:szCs w:val="24"/>
        </w:rPr>
        <w:t>3</w:t>
      </w:r>
      <w:r w:rsidR="00F7115D">
        <w:rPr>
          <w:rFonts w:ascii="Times New Roman" w:eastAsia="Times New Roman" w:hAnsi="Times New Roman" w:cs="Times New Roman"/>
          <w:snapToGrid w:val="0"/>
          <w:sz w:val="24"/>
          <w:szCs w:val="24"/>
        </w:rPr>
        <w:t xml:space="preserve">, to which </w:t>
      </w:r>
      <w:r w:rsidR="00BD0203">
        <w:rPr>
          <w:rFonts w:ascii="Times New Roman" w:eastAsia="Times New Roman" w:hAnsi="Times New Roman" w:cs="Times New Roman"/>
          <w:snapToGrid w:val="0"/>
          <w:sz w:val="24"/>
          <w:szCs w:val="24"/>
        </w:rPr>
        <w:t xml:space="preserve">this paragraph </w:t>
      </w:r>
      <w:r w:rsidR="00F7115D">
        <w:rPr>
          <w:rFonts w:ascii="Times New Roman" w:eastAsia="Times New Roman" w:hAnsi="Times New Roman" w:cs="Times New Roman"/>
          <w:snapToGrid w:val="0"/>
          <w:sz w:val="24"/>
          <w:szCs w:val="24"/>
        </w:rPr>
        <w:t xml:space="preserve">does </w:t>
      </w:r>
      <w:r w:rsidR="00F7115D" w:rsidRPr="009F48CD">
        <w:rPr>
          <w:rFonts w:ascii="Times New Roman" w:eastAsia="Times New Roman" w:hAnsi="Times New Roman" w:cs="Times New Roman"/>
          <w:snapToGrid w:val="0"/>
          <w:sz w:val="24"/>
          <w:szCs w:val="24"/>
          <w:u w:val="single"/>
        </w:rPr>
        <w:t>not</w:t>
      </w:r>
      <w:r w:rsidR="00F7115D">
        <w:rPr>
          <w:rFonts w:ascii="Times New Roman" w:eastAsia="Times New Roman" w:hAnsi="Times New Roman" w:cs="Times New Roman"/>
          <w:snapToGrid w:val="0"/>
          <w:sz w:val="24"/>
          <w:szCs w:val="24"/>
        </w:rPr>
        <w:t xml:space="preserve"> cite, does</w:t>
      </w:r>
      <w:r w:rsidR="003B171B" w:rsidRPr="00DE312F">
        <w:rPr>
          <w:rFonts w:ascii="Times New Roman" w:eastAsia="Times New Roman" w:hAnsi="Times New Roman" w:cs="Times New Roman"/>
          <w:snapToGrid w:val="0"/>
          <w:sz w:val="24"/>
          <w:szCs w:val="24"/>
        </w:rPr>
        <w:t xml:space="preserve"> </w:t>
      </w:r>
      <w:r w:rsidR="003B171B" w:rsidRPr="009207AF">
        <w:rPr>
          <w:rFonts w:ascii="Times New Roman" w:eastAsia="Times New Roman" w:hAnsi="Times New Roman" w:cs="Times New Roman"/>
          <w:snapToGrid w:val="0"/>
          <w:sz w:val="24"/>
          <w:szCs w:val="24"/>
          <w:u w:val="single"/>
        </w:rPr>
        <w:t>not</w:t>
      </w:r>
      <w:r w:rsidR="003B171B" w:rsidRPr="00DE312F">
        <w:rPr>
          <w:rFonts w:ascii="Times New Roman" w:eastAsia="Times New Roman" w:hAnsi="Times New Roman" w:cs="Times New Roman"/>
          <w:snapToGrid w:val="0"/>
          <w:sz w:val="24"/>
          <w:szCs w:val="24"/>
        </w:rPr>
        <w:t xml:space="preserve"> contain </w:t>
      </w:r>
      <w:r w:rsidR="00F7115D">
        <w:rPr>
          <w:rFonts w:ascii="Times New Roman" w:eastAsia="Times New Roman" w:hAnsi="Times New Roman" w:cs="Times New Roman"/>
          <w:snapToGrid w:val="0"/>
          <w:sz w:val="24"/>
          <w:szCs w:val="24"/>
        </w:rPr>
        <w:t>the April 1</w:t>
      </w:r>
      <w:r w:rsidR="00F7115D" w:rsidRPr="00F7115D">
        <w:rPr>
          <w:rFonts w:ascii="Times New Roman" w:eastAsia="Times New Roman" w:hAnsi="Times New Roman" w:cs="Times New Roman"/>
          <w:snapToGrid w:val="0"/>
          <w:sz w:val="24"/>
          <w:szCs w:val="24"/>
          <w:vertAlign w:val="superscript"/>
        </w:rPr>
        <w:t>st</w:t>
      </w:r>
      <w:r w:rsidR="00F7115D">
        <w:rPr>
          <w:rFonts w:ascii="Times New Roman" w:eastAsia="Times New Roman" w:hAnsi="Times New Roman" w:cs="Times New Roman"/>
          <w:snapToGrid w:val="0"/>
          <w:sz w:val="24"/>
          <w:szCs w:val="24"/>
        </w:rPr>
        <w:t xml:space="preserve"> date or anything that would imply </w:t>
      </w:r>
      <w:r w:rsidR="00F7062D">
        <w:rPr>
          <w:rFonts w:ascii="Times New Roman" w:eastAsia="Times New Roman" w:hAnsi="Times New Roman" w:cs="Times New Roman"/>
          <w:snapToGrid w:val="0"/>
          <w:sz w:val="24"/>
          <w:szCs w:val="24"/>
        </w:rPr>
        <w:t>that date</w:t>
      </w:r>
      <w:r w:rsidR="00F7115D">
        <w:rPr>
          <w:rFonts w:ascii="Times New Roman" w:eastAsia="Times New Roman" w:hAnsi="Times New Roman" w:cs="Times New Roman"/>
          <w:snapToGrid w:val="0"/>
          <w:sz w:val="24"/>
          <w:szCs w:val="24"/>
        </w:rPr>
        <w:t xml:space="preserve">. </w:t>
      </w:r>
      <w:r w:rsidRPr="008B077F">
        <w:rPr>
          <w:rFonts w:ascii="Times New Roman" w:eastAsia="Times New Roman" w:hAnsi="Times New Roman" w:cs="Times New Roman"/>
          <w:snapToGrid w:val="0"/>
          <w:sz w:val="24"/>
          <w:szCs w:val="24"/>
        </w:rPr>
        <w:t xml:space="preserve">  It is b</w:t>
      </w:r>
      <w:r w:rsidR="003B171B" w:rsidRPr="00DE312F">
        <w:rPr>
          <w:rFonts w:ascii="Times New Roman" w:eastAsia="Times New Roman" w:hAnsi="Times New Roman" w:cs="Times New Roman"/>
          <w:snapToGrid w:val="0"/>
          <w:sz w:val="24"/>
          <w:szCs w:val="24"/>
        </w:rPr>
        <w:t xml:space="preserve">y this </w:t>
      </w:r>
      <w:r w:rsidRPr="008B077F">
        <w:rPr>
          <w:rFonts w:ascii="Times New Roman" w:eastAsia="Times New Roman" w:hAnsi="Times New Roman" w:cs="Times New Roman"/>
          <w:snapToGrid w:val="0"/>
          <w:sz w:val="24"/>
          <w:szCs w:val="24"/>
        </w:rPr>
        <w:t xml:space="preserve">sleight-of-hand in the first sentence, that the second and third sentences </w:t>
      </w:r>
      <w:r w:rsidRPr="008B077F">
        <w:rPr>
          <w:rFonts w:ascii="Times New Roman" w:eastAsia="Times New Roman" w:hAnsi="Times New Roman" w:cs="Times New Roman"/>
          <w:snapToGrid w:val="0"/>
          <w:sz w:val="24"/>
          <w:szCs w:val="24"/>
          <w:u w:val="single"/>
        </w:rPr>
        <w:t>baldly</w:t>
      </w:r>
      <w:r w:rsidRPr="008B077F">
        <w:rPr>
          <w:rFonts w:ascii="Times New Roman" w:eastAsia="Times New Roman" w:hAnsi="Times New Roman" w:cs="Times New Roman"/>
          <w:snapToGrid w:val="0"/>
          <w:sz w:val="24"/>
          <w:szCs w:val="24"/>
        </w:rPr>
        <w:t xml:space="preserve"> purport that “the Governor and Legislature” complied with “the condition of on-time budget passage” in 2018</w:t>
      </w:r>
      <w:r w:rsidR="002E6DFF">
        <w:rPr>
          <w:rFonts w:ascii="Times New Roman" w:eastAsia="Times New Roman" w:hAnsi="Times New Roman" w:cs="Times New Roman"/>
          <w:snapToGrid w:val="0"/>
          <w:sz w:val="24"/>
          <w:szCs w:val="24"/>
        </w:rPr>
        <w:t>.  Presumably, this means</w:t>
      </w:r>
      <w:r w:rsidR="00F7062D">
        <w:rPr>
          <w:rFonts w:ascii="Times New Roman" w:eastAsia="Times New Roman" w:hAnsi="Times New Roman" w:cs="Times New Roman"/>
          <w:snapToGrid w:val="0"/>
          <w:sz w:val="24"/>
          <w:szCs w:val="24"/>
        </w:rPr>
        <w:t xml:space="preserve"> “April 1”, as the budget was not enacted “in accordance with Article VII” as Legislative Law </w:t>
      </w:r>
      <w:r w:rsidR="00F7062D" w:rsidRPr="008B077F">
        <w:rPr>
          <w:rFonts w:ascii="Times New Roman" w:eastAsia="Times New Roman" w:hAnsi="Times New Roman" w:cs="Times New Roman"/>
          <w:snapToGrid w:val="0"/>
          <w:sz w:val="24"/>
          <w:szCs w:val="24"/>
        </w:rPr>
        <w:t>§5</w:t>
      </w:r>
      <w:r w:rsidR="00F7062D">
        <w:rPr>
          <w:rFonts w:ascii="Times New Roman" w:eastAsia="Times New Roman" w:hAnsi="Times New Roman" w:cs="Times New Roman"/>
          <w:snapToGrid w:val="0"/>
          <w:sz w:val="24"/>
          <w:szCs w:val="24"/>
        </w:rPr>
        <w:t>.</w:t>
      </w:r>
      <w:r w:rsidR="00F7062D" w:rsidRPr="008B077F">
        <w:rPr>
          <w:rFonts w:ascii="Times New Roman" w:eastAsia="Times New Roman" w:hAnsi="Times New Roman" w:cs="Times New Roman"/>
          <w:snapToGrid w:val="0"/>
          <w:sz w:val="24"/>
          <w:szCs w:val="24"/>
        </w:rPr>
        <w:t>3</w:t>
      </w:r>
      <w:r w:rsidR="00F7062D">
        <w:rPr>
          <w:rFonts w:ascii="Times New Roman" w:eastAsia="Times New Roman" w:hAnsi="Times New Roman" w:cs="Times New Roman"/>
          <w:snapToGrid w:val="0"/>
          <w:sz w:val="24"/>
          <w:szCs w:val="24"/>
        </w:rPr>
        <w:t xml:space="preserve"> requires</w:t>
      </w:r>
      <w:r w:rsidR="005A7C02">
        <w:rPr>
          <w:rFonts w:ascii="Times New Roman" w:eastAsia="Times New Roman" w:hAnsi="Times New Roman" w:cs="Times New Roman"/>
          <w:snapToGrid w:val="0"/>
          <w:sz w:val="24"/>
          <w:szCs w:val="24"/>
        </w:rPr>
        <w:t xml:space="preserve"> – and </w:t>
      </w:r>
      <w:r w:rsidR="00F7062D" w:rsidRPr="005A7C02">
        <w:rPr>
          <w:rFonts w:ascii="Times New Roman" w:eastAsia="Times New Roman" w:hAnsi="Times New Roman" w:cs="Times New Roman"/>
          <w:snapToGrid w:val="0"/>
          <w:sz w:val="24"/>
          <w:szCs w:val="24"/>
          <w:u w:val="single"/>
        </w:rPr>
        <w:t>th</w:t>
      </w:r>
      <w:r w:rsidR="00275E15" w:rsidRPr="005A7C02">
        <w:rPr>
          <w:rFonts w:ascii="Times New Roman" w:eastAsia="Times New Roman" w:hAnsi="Times New Roman" w:cs="Times New Roman"/>
          <w:snapToGrid w:val="0"/>
          <w:sz w:val="24"/>
          <w:szCs w:val="24"/>
          <w:u w:val="single"/>
        </w:rPr>
        <w:t xml:space="preserve">e Committee </w:t>
      </w:r>
      <w:r w:rsidR="00F7062D" w:rsidRPr="005A7C02">
        <w:rPr>
          <w:rFonts w:ascii="Times New Roman" w:eastAsia="Times New Roman" w:hAnsi="Times New Roman" w:cs="Times New Roman"/>
          <w:snapToGrid w:val="0"/>
          <w:sz w:val="24"/>
          <w:szCs w:val="24"/>
          <w:u w:val="single"/>
        </w:rPr>
        <w:t xml:space="preserve">makes no finding nor determination that </w:t>
      </w:r>
      <w:r w:rsidR="00A07D34" w:rsidRPr="005A7C02">
        <w:rPr>
          <w:rFonts w:ascii="Times New Roman" w:eastAsia="Times New Roman" w:hAnsi="Times New Roman" w:cs="Times New Roman"/>
          <w:snapToGrid w:val="0"/>
          <w:sz w:val="24"/>
          <w:szCs w:val="24"/>
          <w:u w:val="single"/>
        </w:rPr>
        <w:t>the budget was enacted “in accordance with Article VII”</w:t>
      </w:r>
      <w:r w:rsidR="00F7062D">
        <w:rPr>
          <w:rFonts w:ascii="Times New Roman" w:eastAsia="Times New Roman" w:hAnsi="Times New Roman" w:cs="Times New Roman"/>
          <w:snapToGrid w:val="0"/>
          <w:sz w:val="24"/>
          <w:szCs w:val="24"/>
        </w:rPr>
        <w:t xml:space="preserve">.  </w:t>
      </w:r>
    </w:p>
    <w:p w14:paraId="16301241" w14:textId="77777777" w:rsidR="002E6DFF" w:rsidRDefault="002E6DFF" w:rsidP="00FF429A">
      <w:pPr>
        <w:spacing w:after="0" w:line="240" w:lineRule="auto"/>
        <w:jc w:val="both"/>
        <w:rPr>
          <w:rFonts w:ascii="Times New Roman" w:eastAsia="Times New Roman" w:hAnsi="Times New Roman" w:cs="Times New Roman"/>
          <w:snapToGrid w:val="0"/>
          <w:sz w:val="24"/>
          <w:szCs w:val="24"/>
        </w:rPr>
      </w:pPr>
    </w:p>
    <w:p w14:paraId="53143CDF" w14:textId="786FF3CF" w:rsidR="008B077F" w:rsidRDefault="00A07D34" w:rsidP="00FF429A">
      <w:p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E</w:t>
      </w:r>
      <w:r w:rsidR="00F7062D">
        <w:rPr>
          <w:rFonts w:ascii="Times New Roman" w:eastAsia="Times New Roman" w:hAnsi="Times New Roman" w:cs="Times New Roman"/>
          <w:snapToGrid w:val="0"/>
          <w:sz w:val="24"/>
          <w:szCs w:val="24"/>
        </w:rPr>
        <w:t xml:space="preserve">xplication of </w:t>
      </w:r>
      <w:r w:rsidR="002E6DFF">
        <w:rPr>
          <w:rFonts w:ascii="Times New Roman" w:eastAsia="Times New Roman" w:hAnsi="Times New Roman" w:cs="Times New Roman"/>
          <w:snapToGrid w:val="0"/>
          <w:sz w:val="24"/>
          <w:szCs w:val="24"/>
        </w:rPr>
        <w:t xml:space="preserve">Legislative Law </w:t>
      </w:r>
      <w:r w:rsidR="002E6DFF" w:rsidRPr="002E6DFF">
        <w:rPr>
          <w:rFonts w:ascii="Times New Roman" w:eastAsia="Times New Roman" w:hAnsi="Times New Roman" w:cs="Times New Roman"/>
          <w:snapToGrid w:val="0"/>
          <w:sz w:val="24"/>
          <w:szCs w:val="24"/>
        </w:rPr>
        <w:t>§</w:t>
      </w:r>
      <w:r w:rsidR="002E6DFF">
        <w:rPr>
          <w:rFonts w:ascii="Times New Roman" w:eastAsia="Times New Roman" w:hAnsi="Times New Roman" w:cs="Times New Roman"/>
          <w:snapToGrid w:val="0"/>
          <w:sz w:val="24"/>
          <w:szCs w:val="24"/>
        </w:rPr>
        <w:t>5.3</w:t>
      </w:r>
      <w:r>
        <w:rPr>
          <w:rFonts w:ascii="Times New Roman" w:eastAsia="Times New Roman" w:hAnsi="Times New Roman" w:cs="Times New Roman"/>
          <w:snapToGrid w:val="0"/>
          <w:sz w:val="24"/>
          <w:szCs w:val="24"/>
        </w:rPr>
        <w:t xml:space="preserve"> was </w:t>
      </w:r>
      <w:r w:rsidR="009F48CD">
        <w:rPr>
          <w:rFonts w:ascii="Times New Roman" w:eastAsia="Times New Roman" w:hAnsi="Times New Roman" w:cs="Times New Roman"/>
          <w:snapToGrid w:val="0"/>
          <w:sz w:val="24"/>
          <w:szCs w:val="24"/>
        </w:rPr>
        <w:t xml:space="preserve">furnished </w:t>
      </w:r>
      <w:r>
        <w:rPr>
          <w:rFonts w:ascii="Times New Roman" w:eastAsia="Times New Roman" w:hAnsi="Times New Roman" w:cs="Times New Roman"/>
          <w:snapToGrid w:val="0"/>
          <w:sz w:val="24"/>
          <w:szCs w:val="24"/>
        </w:rPr>
        <w:t xml:space="preserve">by </w:t>
      </w:r>
      <w:r w:rsidR="00B24AE3">
        <w:rPr>
          <w:rFonts w:ascii="Times New Roman" w:eastAsia="Times New Roman" w:hAnsi="Times New Roman" w:cs="Times New Roman"/>
          <w:snapToGrid w:val="0"/>
          <w:sz w:val="24"/>
          <w:szCs w:val="24"/>
        </w:rPr>
        <w:t>CJA director</w:t>
      </w:r>
      <w:r>
        <w:rPr>
          <w:rFonts w:ascii="Times New Roman" w:eastAsia="Times New Roman" w:hAnsi="Times New Roman" w:cs="Times New Roman"/>
          <w:snapToGrid w:val="0"/>
          <w:sz w:val="24"/>
          <w:szCs w:val="24"/>
        </w:rPr>
        <w:t xml:space="preserve"> </w:t>
      </w:r>
      <w:proofErr w:type="spellStart"/>
      <w:r>
        <w:rPr>
          <w:rFonts w:ascii="Times New Roman" w:eastAsia="Times New Roman" w:hAnsi="Times New Roman" w:cs="Times New Roman"/>
          <w:snapToGrid w:val="0"/>
          <w:sz w:val="24"/>
          <w:szCs w:val="24"/>
        </w:rPr>
        <w:t>Sassower’s</w:t>
      </w:r>
      <w:proofErr w:type="spellEnd"/>
      <w:r>
        <w:rPr>
          <w:rFonts w:ascii="Times New Roman" w:eastAsia="Times New Roman" w:hAnsi="Times New Roman" w:cs="Times New Roman"/>
          <w:snapToGrid w:val="0"/>
          <w:sz w:val="24"/>
          <w:szCs w:val="24"/>
        </w:rPr>
        <w:t xml:space="preserve"> </w:t>
      </w:r>
      <w:r w:rsidRPr="008B077F">
        <w:rPr>
          <w:rFonts w:ascii="Times New Roman" w:eastAsia="Times New Roman" w:hAnsi="Times New Roman" w:cs="Times New Roman"/>
          <w:snapToGrid w:val="0"/>
          <w:sz w:val="24"/>
          <w:szCs w:val="24"/>
        </w:rPr>
        <w:t>November 30, 2018 written statement</w:t>
      </w:r>
      <w:r w:rsidR="002E6DFF">
        <w:rPr>
          <w:rFonts w:ascii="Times New Roman" w:eastAsia="Times New Roman" w:hAnsi="Times New Roman" w:cs="Times New Roman"/>
          <w:snapToGrid w:val="0"/>
          <w:sz w:val="24"/>
          <w:szCs w:val="24"/>
        </w:rPr>
        <w:t>,</w:t>
      </w:r>
      <w:r w:rsidR="00F7062D">
        <w:rPr>
          <w:rFonts w:ascii="Times New Roman" w:eastAsia="Times New Roman" w:hAnsi="Times New Roman" w:cs="Times New Roman"/>
          <w:snapToGrid w:val="0"/>
          <w:sz w:val="24"/>
          <w:szCs w:val="24"/>
        </w:rPr>
        <w:t xml:space="preserve"> but the</w:t>
      </w:r>
      <w:r w:rsidR="0054439C">
        <w:rPr>
          <w:rFonts w:ascii="Times New Roman" w:eastAsia="Times New Roman" w:hAnsi="Times New Roman" w:cs="Times New Roman"/>
          <w:snapToGrid w:val="0"/>
          <w:sz w:val="24"/>
          <w:szCs w:val="24"/>
        </w:rPr>
        <w:t xml:space="preserve"> Committee </w:t>
      </w:r>
      <w:r w:rsidR="005A7C02">
        <w:rPr>
          <w:rFonts w:ascii="Times New Roman" w:eastAsia="Times New Roman" w:hAnsi="Times New Roman" w:cs="Times New Roman"/>
          <w:snapToGrid w:val="0"/>
          <w:sz w:val="24"/>
          <w:szCs w:val="24"/>
        </w:rPr>
        <w:t>neither refers to it, nor rebuts it.</w:t>
      </w:r>
      <w:r w:rsidR="009207AF">
        <w:rPr>
          <w:rFonts w:ascii="Times New Roman" w:eastAsia="Times New Roman" w:hAnsi="Times New Roman" w:cs="Times New Roman"/>
          <w:snapToGrid w:val="0"/>
          <w:sz w:val="24"/>
          <w:szCs w:val="24"/>
        </w:rPr>
        <w:t xml:space="preserve">  It</w:t>
      </w:r>
      <w:r w:rsidR="0054439C">
        <w:rPr>
          <w:rFonts w:ascii="Times New Roman" w:eastAsia="Times New Roman" w:hAnsi="Times New Roman" w:cs="Times New Roman"/>
          <w:snapToGrid w:val="0"/>
          <w:sz w:val="24"/>
          <w:szCs w:val="24"/>
        </w:rPr>
        <w:t xml:space="preserve"> was, as follows</w:t>
      </w:r>
      <w:r w:rsidR="002E6DFF">
        <w:rPr>
          <w:rFonts w:ascii="Times New Roman" w:eastAsia="Times New Roman" w:hAnsi="Times New Roman" w:cs="Times New Roman"/>
          <w:snapToGrid w:val="0"/>
          <w:sz w:val="24"/>
          <w:szCs w:val="24"/>
        </w:rPr>
        <w:t>:</w:t>
      </w:r>
      <w:r w:rsidR="00F7062D">
        <w:rPr>
          <w:rFonts w:ascii="Times New Roman" w:eastAsia="Times New Roman" w:hAnsi="Times New Roman" w:cs="Times New Roman"/>
          <w:snapToGrid w:val="0"/>
          <w:sz w:val="24"/>
          <w:szCs w:val="24"/>
        </w:rPr>
        <w:t xml:space="preserve"> </w:t>
      </w:r>
    </w:p>
    <w:p w14:paraId="67E19A40" w14:textId="77777777" w:rsidR="006F60A0" w:rsidRPr="008B077F" w:rsidRDefault="006F60A0" w:rsidP="00FF429A">
      <w:pPr>
        <w:spacing w:after="0" w:line="240" w:lineRule="auto"/>
        <w:jc w:val="both"/>
        <w:rPr>
          <w:rFonts w:ascii="Times New Roman" w:eastAsia="Times New Roman" w:hAnsi="Times New Roman" w:cs="Times New Roman"/>
          <w:snapToGrid w:val="0"/>
          <w:sz w:val="24"/>
          <w:szCs w:val="24"/>
        </w:rPr>
      </w:pPr>
    </w:p>
    <w:p w14:paraId="4A7006A9" w14:textId="1EC1FA2D" w:rsidR="008B077F" w:rsidRPr="008B077F" w:rsidRDefault="008B077F" w:rsidP="008B077F">
      <w:pPr>
        <w:spacing w:after="0" w:line="240" w:lineRule="auto"/>
        <w:ind w:left="720" w:right="720"/>
        <w:jc w:val="both"/>
        <w:rPr>
          <w:rFonts w:ascii="Times New Roman" w:eastAsia="Times New Roman" w:hAnsi="Times New Roman" w:cs="Times New Roman"/>
          <w:snapToGrid w:val="0"/>
          <w:sz w:val="24"/>
          <w:szCs w:val="24"/>
        </w:rPr>
      </w:pPr>
      <w:r w:rsidRPr="008B077F">
        <w:rPr>
          <w:rFonts w:ascii="Times New Roman" w:eastAsia="Calibri" w:hAnsi="Times New Roman" w:cs="Times New Roman"/>
          <w:snapToGrid w:val="0"/>
          <w:sz w:val="24"/>
          <w:szCs w:val="24"/>
        </w:rPr>
        <w:t xml:space="preserve">As for the Committee’s statutory mandate to consider not only </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performance…of…statutory and Constitutional responsibilities</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 xml:space="preserve">, but </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 xml:space="preserve">timely </w:t>
      </w:r>
      <w:r w:rsidRPr="008B077F">
        <w:rPr>
          <w:rFonts w:ascii="Times New Roman" w:eastAsia="Calibri" w:hAnsi="Times New Roman" w:cs="Times New Roman"/>
          <w:snapToGrid w:val="0"/>
          <w:sz w:val="24"/>
          <w:szCs w:val="24"/>
        </w:rPr>
        <w:lastRenderedPageBreak/>
        <w:t>fulfillment</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 xml:space="preserve"> thereof, this is code for the state budget – and so-reinforced by the statute’s </w:t>
      </w:r>
      <w:r w:rsidRPr="008B077F">
        <w:rPr>
          <w:rFonts w:ascii="Times New Roman" w:eastAsia="Times New Roman" w:hAnsi="Times New Roman" w:cs="Times New Roman"/>
          <w:snapToGrid w:val="0"/>
          <w:sz w:val="25"/>
          <w:szCs w:val="20"/>
        </w:rPr>
        <w:t>§2(</w:t>
      </w:r>
      <w:r w:rsidRPr="008B077F">
        <w:rPr>
          <w:rFonts w:ascii="Times New Roman" w:eastAsia="Times New Roman" w:hAnsi="Times New Roman" w:cs="Times New Roman"/>
          <w:snapToGrid w:val="0"/>
          <w:sz w:val="24"/>
          <w:szCs w:val="24"/>
        </w:rPr>
        <w:t xml:space="preserve">¶4b) </w:t>
      </w:r>
      <w:r w:rsidRPr="008B077F">
        <w:rPr>
          <w:rFonts w:ascii="Times New Roman" w:eastAsia="Calibri" w:hAnsi="Times New Roman" w:cs="Times New Roman"/>
          <w:snapToGrid w:val="0"/>
          <w:sz w:val="24"/>
          <w:szCs w:val="24"/>
        </w:rPr>
        <w:t xml:space="preserve">reference to </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timely legislative passage of the budget</w:t>
      </w:r>
      <w:r w:rsidR="00DE312F">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 xml:space="preserve">, repeated in </w:t>
      </w:r>
      <w:r w:rsidRPr="008B077F">
        <w:rPr>
          <w:rFonts w:ascii="Times New Roman" w:eastAsia="Times New Roman" w:hAnsi="Times New Roman" w:cs="Times New Roman"/>
          <w:snapToGrid w:val="0"/>
          <w:sz w:val="25"/>
          <w:szCs w:val="20"/>
        </w:rPr>
        <w:t>§2(</w:t>
      </w:r>
      <w:r w:rsidRPr="008B077F">
        <w:rPr>
          <w:rFonts w:ascii="Times New Roman" w:eastAsia="Times New Roman" w:hAnsi="Times New Roman" w:cs="Times New Roman"/>
          <w:snapToGrid w:val="0"/>
          <w:sz w:val="24"/>
          <w:szCs w:val="24"/>
        </w:rPr>
        <w:t xml:space="preserve">¶4c) as having </w:t>
      </w:r>
      <w:r w:rsidR="00DE312F">
        <w:rPr>
          <w:rFonts w:ascii="Times New Roman" w:eastAsia="Times New Roman" w:hAnsi="Times New Roman" w:cs="Times New Roman"/>
          <w:snapToGrid w:val="0"/>
          <w:sz w:val="24"/>
          <w:szCs w:val="24"/>
        </w:rPr>
        <w:t>‘</w:t>
      </w:r>
      <w:r w:rsidRPr="008B077F">
        <w:rPr>
          <w:rFonts w:ascii="Times New Roman" w:eastAsia="Times New Roman" w:hAnsi="Times New Roman" w:cs="Times New Roman"/>
          <w:snapToGrid w:val="0"/>
          <w:sz w:val="24"/>
          <w:szCs w:val="24"/>
        </w:rPr>
        <w:t>the same meaning as defined in subdivision 3 of section 5 of the legislative law</w:t>
      </w:r>
      <w:r w:rsidR="00DE312F">
        <w:rPr>
          <w:rFonts w:ascii="Times New Roman" w:eastAsia="Times New Roman" w:hAnsi="Times New Roman" w:cs="Times New Roman"/>
          <w:snapToGrid w:val="0"/>
          <w:sz w:val="24"/>
          <w:szCs w:val="24"/>
        </w:rPr>
        <w:t>’</w:t>
      </w:r>
      <w:r w:rsidRPr="008B077F">
        <w:rPr>
          <w:rFonts w:ascii="Times New Roman" w:eastAsia="Times New Roman" w:hAnsi="Times New Roman" w:cs="Times New Roman"/>
          <w:snapToGrid w:val="0"/>
          <w:sz w:val="24"/>
          <w:szCs w:val="24"/>
        </w:rPr>
        <w:t xml:space="preserve">, </w:t>
      </w:r>
      <w:r w:rsidRPr="008B077F">
        <w:rPr>
          <w:rFonts w:ascii="Times New Roman" w:eastAsia="Times New Roman" w:hAnsi="Times New Roman" w:cs="Times New Roman"/>
          <w:i/>
          <w:snapToGrid w:val="0"/>
          <w:sz w:val="24"/>
          <w:szCs w:val="24"/>
        </w:rPr>
        <w:t>to wit</w:t>
      </w:r>
      <w:r w:rsidRPr="008B077F">
        <w:rPr>
          <w:rFonts w:ascii="Times New Roman" w:eastAsia="Times New Roman" w:hAnsi="Times New Roman" w:cs="Times New Roman"/>
          <w:snapToGrid w:val="0"/>
          <w:sz w:val="24"/>
          <w:szCs w:val="24"/>
        </w:rPr>
        <w:t>,</w:t>
      </w:r>
    </w:p>
    <w:p w14:paraId="46BC5E75" w14:textId="77777777" w:rsidR="008B077F" w:rsidRPr="008B077F" w:rsidRDefault="008B077F" w:rsidP="008B077F">
      <w:pPr>
        <w:spacing w:after="0" w:line="240" w:lineRule="auto"/>
        <w:ind w:left="720" w:right="720"/>
        <w:jc w:val="both"/>
        <w:rPr>
          <w:rFonts w:ascii="Times New Roman" w:eastAsia="Times New Roman" w:hAnsi="Times New Roman" w:cs="Times New Roman"/>
          <w:snapToGrid w:val="0"/>
          <w:sz w:val="24"/>
          <w:szCs w:val="24"/>
        </w:rPr>
      </w:pPr>
    </w:p>
    <w:p w14:paraId="438078E8" w14:textId="5E8AC07F" w:rsidR="008B077F" w:rsidRPr="008B077F" w:rsidRDefault="00DE312F" w:rsidP="008B077F">
      <w:pPr>
        <w:spacing w:after="0" w:line="240" w:lineRule="auto"/>
        <w:ind w:left="1440" w:right="1440"/>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w:t>
      </w:r>
      <w:r w:rsidR="008B077F" w:rsidRPr="008B077F">
        <w:rPr>
          <w:rFonts w:ascii="Times New Roman" w:eastAsia="Times New Roman" w:hAnsi="Times New Roman" w:cs="Times New Roman"/>
          <w:snapToGrid w:val="0"/>
          <w:color w:val="000000"/>
          <w:sz w:val="24"/>
          <w:szCs w:val="24"/>
        </w:rPr>
        <w:t xml:space="preserve">that the appropriation bill or bills submitted by the governor pursuant to section three of article seven  of  the  state  constitution  have been finally acted on by both houses of the legislature </w:t>
      </w:r>
      <w:r w:rsidR="008B077F" w:rsidRPr="008B077F">
        <w:rPr>
          <w:rFonts w:ascii="Times New Roman" w:eastAsia="Times New Roman" w:hAnsi="Times New Roman" w:cs="Times New Roman"/>
          <w:snapToGrid w:val="0"/>
          <w:color w:val="000000"/>
          <w:sz w:val="24"/>
          <w:szCs w:val="24"/>
          <w:u w:val="single"/>
        </w:rPr>
        <w:t>in accordance with article seven of the state constitution</w:t>
      </w:r>
      <w:r w:rsidR="008B077F" w:rsidRPr="008B077F">
        <w:rPr>
          <w:rFonts w:ascii="Times New Roman" w:eastAsia="Times New Roman" w:hAnsi="Times New Roman" w:cs="Times New Roman"/>
          <w:snapToGrid w:val="0"/>
          <w:color w:val="000000"/>
          <w:sz w:val="24"/>
          <w:szCs w:val="24"/>
        </w:rPr>
        <w:t xml:space="preserve"> and the state  comptroller has determined that such appropriation bill or bills that have been finally acted on by the legislature are sufficient for the ongoing operation and support of state government and local assistance for the ensuing fiscal year.  In addition, legislation submitted by the governor pursuant to section three of article seven of the state constitution determined necessary by the legislature for the effective implementation of such appropriation bill or bills shall have been acted on.  Nothing in this section shall be construed to affect the prohibition contained in section five of article seven of the state constitution.</w:t>
      </w:r>
      <w:r>
        <w:rPr>
          <w:rFonts w:ascii="Times New Roman" w:eastAsia="Times New Roman" w:hAnsi="Times New Roman" w:cs="Times New Roman"/>
          <w:snapToGrid w:val="0"/>
          <w:color w:val="000000"/>
          <w:sz w:val="24"/>
          <w:szCs w:val="24"/>
        </w:rPr>
        <w:t>’</w:t>
      </w:r>
    </w:p>
    <w:p w14:paraId="32AB4448" w14:textId="77777777" w:rsidR="008B077F" w:rsidRPr="008B077F" w:rsidRDefault="008B077F" w:rsidP="008B077F">
      <w:pPr>
        <w:spacing w:after="0" w:line="240" w:lineRule="auto"/>
        <w:ind w:left="720" w:right="720"/>
        <w:jc w:val="both"/>
        <w:rPr>
          <w:rFonts w:ascii="Times New Roman" w:eastAsia="Calibri" w:hAnsi="Times New Roman" w:cs="Times New Roman"/>
          <w:snapToGrid w:val="0"/>
          <w:sz w:val="24"/>
          <w:szCs w:val="24"/>
        </w:rPr>
      </w:pPr>
    </w:p>
    <w:p w14:paraId="6F675C7D" w14:textId="4839893A" w:rsidR="008B077F" w:rsidRPr="008B077F" w:rsidRDefault="008B077F" w:rsidP="008B077F">
      <w:pPr>
        <w:spacing w:after="0" w:line="240" w:lineRule="auto"/>
        <w:ind w:left="720" w:right="720"/>
        <w:jc w:val="both"/>
        <w:rPr>
          <w:rFonts w:ascii="Times New Roman" w:eastAsia="Times New Roman" w:hAnsi="Times New Roman" w:cs="Times New Roman"/>
          <w:snapToGrid w:val="0"/>
          <w:sz w:val="25"/>
          <w:szCs w:val="20"/>
        </w:rPr>
      </w:pPr>
      <w:r w:rsidRPr="008B077F">
        <w:rPr>
          <w:rFonts w:ascii="Times New Roman" w:eastAsia="Calibri" w:hAnsi="Times New Roman" w:cs="Times New Roman"/>
          <w:snapToGrid w:val="0"/>
          <w:sz w:val="24"/>
          <w:szCs w:val="24"/>
        </w:rPr>
        <w:t xml:space="preserve">In other words, pursuant to Legislative Law </w:t>
      </w:r>
      <w:r w:rsidRPr="008B077F">
        <w:rPr>
          <w:rFonts w:ascii="Times New Roman" w:eastAsia="Times New Roman" w:hAnsi="Times New Roman" w:cs="Times New Roman"/>
          <w:snapToGrid w:val="0"/>
          <w:sz w:val="25"/>
          <w:szCs w:val="20"/>
        </w:rPr>
        <w:t xml:space="preserve">§5-a, timeliness with respect to </w:t>
      </w:r>
      <w:r w:rsidR="00DE312F">
        <w:rPr>
          <w:rFonts w:ascii="Times New Roman" w:eastAsia="Times New Roman" w:hAnsi="Times New Roman" w:cs="Times New Roman"/>
          <w:snapToGrid w:val="0"/>
          <w:sz w:val="25"/>
          <w:szCs w:val="20"/>
        </w:rPr>
        <w:t>‘</w:t>
      </w:r>
      <w:r w:rsidRPr="008B077F">
        <w:rPr>
          <w:rFonts w:ascii="Times New Roman" w:eastAsia="Times New Roman" w:hAnsi="Times New Roman" w:cs="Times New Roman"/>
          <w:snapToGrid w:val="0"/>
          <w:sz w:val="25"/>
          <w:szCs w:val="20"/>
        </w:rPr>
        <w:t>legislative passage of the budget</w:t>
      </w:r>
      <w:r w:rsidR="00DE312F">
        <w:rPr>
          <w:rFonts w:ascii="Times New Roman" w:eastAsia="Times New Roman" w:hAnsi="Times New Roman" w:cs="Times New Roman"/>
          <w:snapToGrid w:val="0"/>
          <w:sz w:val="25"/>
          <w:szCs w:val="20"/>
        </w:rPr>
        <w:t>’</w:t>
      </w:r>
      <w:r w:rsidRPr="008B077F">
        <w:rPr>
          <w:rFonts w:ascii="Times New Roman" w:eastAsia="Times New Roman" w:hAnsi="Times New Roman" w:cs="Times New Roman"/>
          <w:snapToGrid w:val="0"/>
          <w:sz w:val="25"/>
          <w:szCs w:val="20"/>
        </w:rPr>
        <w:t xml:space="preserve"> has no date, but rests on compliance with Article VII and, seemingly, </w:t>
      </w:r>
      <w:bookmarkStart w:id="8" w:name="_Hlk533641614"/>
      <w:r w:rsidRPr="008B077F">
        <w:rPr>
          <w:rFonts w:ascii="Times New Roman" w:eastAsia="Times New Roman" w:hAnsi="Times New Roman" w:cs="Times New Roman"/>
          <w:snapToGrid w:val="0"/>
          <w:sz w:val="25"/>
          <w:szCs w:val="20"/>
        </w:rPr>
        <w:t>§</w:t>
      </w:r>
      <w:bookmarkEnd w:id="8"/>
      <w:r w:rsidRPr="008B077F">
        <w:rPr>
          <w:rFonts w:ascii="Times New Roman" w:eastAsia="Times New Roman" w:hAnsi="Times New Roman" w:cs="Times New Roman"/>
          <w:snapToGrid w:val="0"/>
          <w:sz w:val="25"/>
          <w:szCs w:val="20"/>
        </w:rPr>
        <w:t>4, whose relevant language – providing for a rolling budget, enacted bill by bill – reads:</w:t>
      </w:r>
    </w:p>
    <w:p w14:paraId="6B541B8C" w14:textId="77777777" w:rsidR="008B077F" w:rsidRPr="008B077F" w:rsidRDefault="008B077F" w:rsidP="008B077F">
      <w:pPr>
        <w:spacing w:after="0" w:line="240" w:lineRule="auto"/>
        <w:ind w:left="720" w:right="720"/>
        <w:jc w:val="both"/>
        <w:rPr>
          <w:rFonts w:ascii="Times New Roman" w:eastAsia="Times New Roman" w:hAnsi="Times New Roman" w:cs="Times New Roman"/>
          <w:snapToGrid w:val="0"/>
          <w:sz w:val="25"/>
          <w:szCs w:val="20"/>
        </w:rPr>
      </w:pPr>
    </w:p>
    <w:p w14:paraId="14B1B8AE" w14:textId="4A80AB2B" w:rsidR="008B077F" w:rsidRPr="008B077F" w:rsidRDefault="00DE312F" w:rsidP="008B077F">
      <w:pPr>
        <w:spacing w:after="0" w:line="240" w:lineRule="auto"/>
        <w:ind w:left="1440" w:right="1440"/>
        <w:jc w:val="both"/>
        <w:rPr>
          <w:rFonts w:ascii="Times New Roman" w:eastAsia="Times New Roman" w:hAnsi="Times New Roman" w:cs="Times New Roman"/>
          <w:snapToGrid w:val="0"/>
          <w:sz w:val="25"/>
          <w:szCs w:val="20"/>
        </w:rPr>
      </w:pPr>
      <w:r>
        <w:rPr>
          <w:rFonts w:ascii="Times New Roman" w:eastAsia="Times New Roman" w:hAnsi="Times New Roman" w:cs="Times New Roman"/>
          <w:snapToGrid w:val="0"/>
          <w:sz w:val="25"/>
          <w:szCs w:val="20"/>
        </w:rPr>
        <w:t>‘</w:t>
      </w:r>
      <w:r w:rsidR="008B077F" w:rsidRPr="008B077F">
        <w:rPr>
          <w:rFonts w:ascii="Times New Roman" w:eastAsia="Times New Roman" w:hAnsi="Times New Roman" w:cs="Times New Roman"/>
          <w:snapToGrid w:val="0"/>
          <w:sz w:val="25"/>
          <w:szCs w:val="20"/>
        </w:rPr>
        <w:t xml:space="preserve">Such an appropriation bill shall when </w:t>
      </w:r>
      <w:proofErr w:type="gramStart"/>
      <w:r w:rsidR="008B077F" w:rsidRPr="008B077F">
        <w:rPr>
          <w:rFonts w:ascii="Times New Roman" w:eastAsia="Times New Roman" w:hAnsi="Times New Roman" w:cs="Times New Roman"/>
          <w:snapToGrid w:val="0"/>
          <w:sz w:val="25"/>
          <w:szCs w:val="20"/>
        </w:rPr>
        <w:t>passed</w:t>
      </w:r>
      <w:proofErr w:type="gramEnd"/>
      <w:r w:rsidR="008B077F" w:rsidRPr="008B077F">
        <w:rPr>
          <w:rFonts w:ascii="Times New Roman" w:eastAsia="Times New Roman" w:hAnsi="Times New Roman" w:cs="Times New Roman"/>
          <w:snapToGrid w:val="0"/>
          <w:sz w:val="25"/>
          <w:szCs w:val="20"/>
        </w:rPr>
        <w:t xml:space="preserve"> by both houses be a law immediately without further action by the governor, except that appropriations for the legislature and judiciary and separate items added to the governor’s bills by the legislature shall be subject to his approval as provided in section 7 of article 4.</w:t>
      </w:r>
      <w:r>
        <w:rPr>
          <w:rFonts w:ascii="Times New Roman" w:eastAsia="Times New Roman" w:hAnsi="Times New Roman" w:cs="Times New Roman"/>
          <w:snapToGrid w:val="0"/>
          <w:sz w:val="25"/>
          <w:szCs w:val="20"/>
        </w:rPr>
        <w:t>’</w:t>
      </w:r>
      <w:r w:rsidR="00B73257">
        <w:rPr>
          <w:rFonts w:ascii="Times New Roman" w:eastAsia="Times New Roman" w:hAnsi="Times New Roman" w:cs="Times New Roman"/>
          <w:snapToGrid w:val="0"/>
          <w:sz w:val="25"/>
          <w:szCs w:val="20"/>
        </w:rPr>
        <w:t>”</w:t>
      </w:r>
    </w:p>
    <w:p w14:paraId="0106B791" w14:textId="77777777" w:rsidR="008B077F" w:rsidRPr="008B077F" w:rsidRDefault="008B077F" w:rsidP="008B077F">
      <w:pPr>
        <w:spacing w:after="0" w:line="240" w:lineRule="auto"/>
        <w:ind w:left="1440" w:right="1440"/>
        <w:jc w:val="both"/>
        <w:rPr>
          <w:rFonts w:ascii="Times New Roman" w:eastAsia="Times New Roman" w:hAnsi="Times New Roman" w:cs="Times New Roman"/>
          <w:snapToGrid w:val="0"/>
          <w:sz w:val="25"/>
          <w:szCs w:val="20"/>
        </w:rPr>
      </w:pPr>
    </w:p>
    <w:p w14:paraId="1989CC9B" w14:textId="28B605C1" w:rsidR="002E6DFF" w:rsidRPr="005A7C02" w:rsidRDefault="008B077F" w:rsidP="00B759E7">
      <w:pPr>
        <w:spacing w:after="0" w:line="240" w:lineRule="auto"/>
        <w:jc w:val="both"/>
        <w:rPr>
          <w:rFonts w:ascii="Times New Roman" w:eastAsia="Calibri" w:hAnsi="Times New Roman" w:cs="Times New Roman"/>
          <w:snapToGrid w:val="0"/>
          <w:sz w:val="24"/>
          <w:szCs w:val="24"/>
          <w:u w:val="single"/>
        </w:rPr>
      </w:pPr>
      <w:r w:rsidRPr="005A7C02">
        <w:rPr>
          <w:rFonts w:ascii="Times New Roman" w:eastAsia="Calibri" w:hAnsi="Times New Roman" w:cs="Times New Roman"/>
          <w:snapToGrid w:val="0"/>
          <w:sz w:val="24"/>
          <w:szCs w:val="24"/>
          <w:u w:val="single"/>
        </w:rPr>
        <w:t>Th</w:t>
      </w:r>
      <w:r w:rsidR="002E6DFF" w:rsidRPr="005A7C02">
        <w:rPr>
          <w:rFonts w:ascii="Times New Roman" w:eastAsia="Calibri" w:hAnsi="Times New Roman" w:cs="Times New Roman"/>
          <w:snapToGrid w:val="0"/>
          <w:sz w:val="24"/>
          <w:szCs w:val="24"/>
          <w:u w:val="single"/>
        </w:rPr>
        <w:t xml:space="preserve">e </w:t>
      </w:r>
      <w:r w:rsidR="00A07D34" w:rsidRPr="005A7C02">
        <w:rPr>
          <w:rFonts w:ascii="Times New Roman" w:eastAsia="Calibri" w:hAnsi="Times New Roman" w:cs="Times New Roman"/>
          <w:snapToGrid w:val="0"/>
          <w:sz w:val="24"/>
          <w:szCs w:val="24"/>
          <w:u w:val="single"/>
        </w:rPr>
        <w:t xml:space="preserve">Committee’s </w:t>
      </w:r>
      <w:r w:rsidR="002E6DFF" w:rsidRPr="005A7C02">
        <w:rPr>
          <w:rFonts w:ascii="Times New Roman" w:eastAsia="Calibri" w:hAnsi="Times New Roman" w:cs="Times New Roman"/>
          <w:snapToGrid w:val="0"/>
          <w:sz w:val="24"/>
          <w:szCs w:val="24"/>
          <w:u w:val="single"/>
        </w:rPr>
        <w:t xml:space="preserve">failure to make any </w:t>
      </w:r>
      <w:r w:rsidR="004E447F" w:rsidRPr="005A7C02">
        <w:rPr>
          <w:rFonts w:ascii="Times New Roman" w:eastAsia="Calibri" w:hAnsi="Times New Roman" w:cs="Times New Roman"/>
          <w:snapToGrid w:val="0"/>
          <w:sz w:val="24"/>
          <w:szCs w:val="24"/>
          <w:u w:val="single"/>
        </w:rPr>
        <w:t>f</w:t>
      </w:r>
      <w:r w:rsidRPr="005A7C02">
        <w:rPr>
          <w:rFonts w:ascii="Times New Roman" w:eastAsia="Calibri" w:hAnsi="Times New Roman" w:cs="Times New Roman"/>
          <w:snapToGrid w:val="0"/>
          <w:sz w:val="24"/>
          <w:szCs w:val="24"/>
          <w:u w:val="single"/>
        </w:rPr>
        <w:t xml:space="preserve">inding with respect to this </w:t>
      </w:r>
      <w:r w:rsidR="00A07D34" w:rsidRPr="005A7C02">
        <w:rPr>
          <w:rFonts w:ascii="Times New Roman" w:eastAsia="Calibri" w:hAnsi="Times New Roman" w:cs="Times New Roman"/>
          <w:snapToGrid w:val="0"/>
          <w:sz w:val="24"/>
          <w:szCs w:val="24"/>
          <w:u w:val="single"/>
        </w:rPr>
        <w:t xml:space="preserve">explication </w:t>
      </w:r>
      <w:r w:rsidR="00A97498" w:rsidRPr="005A7C02">
        <w:rPr>
          <w:rFonts w:ascii="Times New Roman" w:eastAsia="Calibri" w:hAnsi="Times New Roman" w:cs="Times New Roman"/>
          <w:snapToGrid w:val="0"/>
          <w:sz w:val="24"/>
          <w:szCs w:val="24"/>
          <w:u w:val="single"/>
        </w:rPr>
        <w:t>reflect</w:t>
      </w:r>
      <w:r w:rsidR="00A07D34" w:rsidRPr="005A7C02">
        <w:rPr>
          <w:rFonts w:ascii="Times New Roman" w:eastAsia="Calibri" w:hAnsi="Times New Roman" w:cs="Times New Roman"/>
          <w:snapToGrid w:val="0"/>
          <w:sz w:val="24"/>
          <w:szCs w:val="24"/>
          <w:u w:val="single"/>
        </w:rPr>
        <w:t>s its</w:t>
      </w:r>
      <w:r w:rsidRPr="005A7C02">
        <w:rPr>
          <w:rFonts w:ascii="Times New Roman" w:eastAsia="Calibri" w:hAnsi="Times New Roman" w:cs="Times New Roman"/>
          <w:snapToGrid w:val="0"/>
          <w:sz w:val="24"/>
          <w:szCs w:val="24"/>
          <w:u w:val="single"/>
        </w:rPr>
        <w:t xml:space="preserve"> knowledge that it cannot do so without conceding its accuracy, precluding ANY </w:t>
      </w:r>
      <w:r w:rsidR="00B73257" w:rsidRPr="005A7C02">
        <w:rPr>
          <w:rFonts w:ascii="Times New Roman" w:eastAsia="Calibri" w:hAnsi="Times New Roman" w:cs="Times New Roman"/>
          <w:snapToGrid w:val="0"/>
          <w:sz w:val="24"/>
          <w:szCs w:val="24"/>
          <w:u w:val="single"/>
        </w:rPr>
        <w:t>salary increases</w:t>
      </w:r>
      <w:r w:rsidRPr="005A7C02">
        <w:rPr>
          <w:rFonts w:ascii="Times New Roman" w:eastAsia="Calibri" w:hAnsi="Times New Roman" w:cs="Times New Roman"/>
          <w:snapToGrid w:val="0"/>
          <w:sz w:val="24"/>
          <w:szCs w:val="24"/>
          <w:u w:val="single"/>
        </w:rPr>
        <w:t xml:space="preserve"> to the legislators and the statewide </w:t>
      </w:r>
      <w:proofErr w:type="spellStart"/>
      <w:r w:rsidRPr="005A7C02">
        <w:rPr>
          <w:rFonts w:ascii="Times New Roman" w:eastAsia="Calibri" w:hAnsi="Times New Roman" w:cs="Times New Roman"/>
          <w:snapToGrid w:val="0"/>
          <w:sz w:val="24"/>
          <w:szCs w:val="24"/>
          <w:u w:val="single"/>
        </w:rPr>
        <w:t>elected</w:t>
      </w:r>
      <w:r w:rsidR="009207AF" w:rsidRPr="005A7C02">
        <w:rPr>
          <w:rFonts w:ascii="Times New Roman" w:eastAsia="Calibri" w:hAnsi="Times New Roman" w:cs="Times New Roman"/>
          <w:snapToGrid w:val="0"/>
          <w:sz w:val="24"/>
          <w:szCs w:val="24"/>
          <w:u w:val="single"/>
        </w:rPr>
        <w:t>s</w:t>
      </w:r>
      <w:proofErr w:type="spellEnd"/>
      <w:r w:rsidRPr="005A7C02">
        <w:rPr>
          <w:rFonts w:ascii="Times New Roman" w:eastAsia="Calibri" w:hAnsi="Times New Roman" w:cs="Times New Roman"/>
          <w:snapToGrid w:val="0"/>
          <w:sz w:val="24"/>
          <w:szCs w:val="24"/>
          <w:u w:val="single"/>
        </w:rPr>
        <w:t xml:space="preserve"> because the budget flagrantly violates Article VII</w:t>
      </w:r>
      <w:r w:rsidR="00275E15" w:rsidRPr="005A7C02">
        <w:rPr>
          <w:rFonts w:ascii="Times New Roman" w:eastAsia="Calibri" w:hAnsi="Times New Roman" w:cs="Times New Roman"/>
          <w:snapToGrid w:val="0"/>
          <w:sz w:val="24"/>
          <w:szCs w:val="24"/>
          <w:u w:val="single"/>
        </w:rPr>
        <w:t xml:space="preserve">, </w:t>
      </w:r>
      <w:r w:rsidRPr="005A7C02">
        <w:rPr>
          <w:rFonts w:ascii="Times New Roman" w:eastAsia="Calibri" w:hAnsi="Times New Roman" w:cs="Times New Roman"/>
          <w:snapToGrid w:val="0"/>
          <w:sz w:val="24"/>
          <w:szCs w:val="24"/>
          <w:u w:val="single"/>
        </w:rPr>
        <w:t xml:space="preserve">as likewise statutory and legislative rule provisions based thereon – </w:t>
      </w:r>
      <w:r w:rsidR="002E6DFF" w:rsidRPr="005A7C02">
        <w:rPr>
          <w:rFonts w:ascii="Times New Roman" w:eastAsia="Calibri" w:hAnsi="Times New Roman" w:cs="Times New Roman"/>
          <w:snapToGrid w:val="0"/>
          <w:sz w:val="24"/>
          <w:szCs w:val="24"/>
          <w:u w:val="single"/>
        </w:rPr>
        <w:t xml:space="preserve">so-demonstrated by </w:t>
      </w:r>
      <w:r w:rsidRPr="005A7C02">
        <w:rPr>
          <w:rFonts w:ascii="Times New Roman" w:eastAsia="Calibri" w:hAnsi="Times New Roman" w:cs="Times New Roman"/>
          <w:snapToGrid w:val="0"/>
          <w:sz w:val="24"/>
          <w:szCs w:val="24"/>
          <w:u w:val="single"/>
        </w:rPr>
        <w:t>CJA’s second citizen-taxpayer action</w:t>
      </w:r>
      <w:r w:rsidR="002E6DFF" w:rsidRPr="005A7C02">
        <w:rPr>
          <w:rFonts w:ascii="Times New Roman" w:eastAsia="Calibri" w:hAnsi="Times New Roman" w:cs="Times New Roman"/>
          <w:snapToGrid w:val="0"/>
          <w:sz w:val="24"/>
          <w:szCs w:val="24"/>
          <w:u w:val="single"/>
        </w:rPr>
        <w:t>.</w:t>
      </w:r>
    </w:p>
    <w:p w14:paraId="4D7A646B" w14:textId="77777777" w:rsidR="002E6DFF" w:rsidRDefault="002E6DFF" w:rsidP="00B759E7">
      <w:pPr>
        <w:spacing w:after="0" w:line="240" w:lineRule="auto"/>
        <w:jc w:val="both"/>
        <w:rPr>
          <w:rFonts w:ascii="Times New Roman" w:eastAsia="Calibri" w:hAnsi="Times New Roman" w:cs="Times New Roman"/>
          <w:snapToGrid w:val="0"/>
          <w:sz w:val="24"/>
          <w:szCs w:val="24"/>
        </w:rPr>
      </w:pPr>
    </w:p>
    <w:p w14:paraId="68E986D8" w14:textId="19789621" w:rsidR="008B077F" w:rsidRPr="00A97498" w:rsidRDefault="008B077F" w:rsidP="008B077F">
      <w:pPr>
        <w:spacing w:after="0" w:line="480" w:lineRule="auto"/>
        <w:jc w:val="both"/>
        <w:rPr>
          <w:rFonts w:ascii="Times New Roman" w:eastAsia="Calibri" w:hAnsi="Times New Roman" w:cs="Times New Roman"/>
          <w:b/>
          <w:snapToGrid w:val="0"/>
          <w:sz w:val="24"/>
          <w:szCs w:val="24"/>
        </w:rPr>
      </w:pPr>
      <w:r w:rsidRPr="00A97498">
        <w:rPr>
          <w:rFonts w:ascii="Times New Roman" w:eastAsia="Calibri" w:hAnsi="Times New Roman" w:cs="Times New Roman"/>
          <w:b/>
          <w:snapToGrid w:val="0"/>
          <w:sz w:val="24"/>
          <w:szCs w:val="24"/>
          <w:u w:val="single"/>
        </w:rPr>
        <w:t>Paragraph #3</w:t>
      </w:r>
      <w:r w:rsidRPr="00A97498">
        <w:rPr>
          <w:rFonts w:ascii="Times New Roman" w:eastAsia="Calibri" w:hAnsi="Times New Roman" w:cs="Times New Roman"/>
          <w:b/>
          <w:snapToGrid w:val="0"/>
          <w:sz w:val="24"/>
          <w:szCs w:val="24"/>
        </w:rPr>
        <w:t>:</w:t>
      </w:r>
    </w:p>
    <w:p w14:paraId="61E6FFEE" w14:textId="77777777" w:rsidR="008B077F" w:rsidRPr="008B077F" w:rsidRDefault="008B077F" w:rsidP="00B759E7">
      <w:pPr>
        <w:spacing w:after="0" w:line="240" w:lineRule="auto"/>
        <w:ind w:left="1152" w:right="1152"/>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 xml:space="preserve">“The ‘performance’ of the legislature in its statutory and Constitutional activities, however, is to be interpreted and determined by this Committee.  While some may want a litmus test by issue (or by individual Legislator), we cannot have (nor would the statute permit), an increase to be challenged based upon the needs or wants of any </w:t>
      </w:r>
      <w:proofErr w:type="gramStart"/>
      <w:r w:rsidRPr="008B077F">
        <w:rPr>
          <w:rFonts w:ascii="Times New Roman" w:eastAsia="Calibri" w:hAnsi="Times New Roman" w:cs="Times New Roman"/>
          <w:snapToGrid w:val="0"/>
          <w:sz w:val="24"/>
          <w:szCs w:val="24"/>
        </w:rPr>
        <w:t>particular citizen</w:t>
      </w:r>
      <w:proofErr w:type="gramEnd"/>
      <w:r w:rsidRPr="008B077F">
        <w:rPr>
          <w:rFonts w:ascii="Times New Roman" w:eastAsia="Calibri" w:hAnsi="Times New Roman" w:cs="Times New Roman"/>
          <w:snapToGrid w:val="0"/>
          <w:sz w:val="24"/>
          <w:szCs w:val="24"/>
        </w:rPr>
        <w:t xml:space="preserve">.  The statute charges us with considerations and determinations regarding the body as a whole.  Accordingly, we find that this first condition is met by </w:t>
      </w:r>
      <w:r w:rsidRPr="008B077F">
        <w:rPr>
          <w:rFonts w:ascii="Times New Roman" w:eastAsia="Calibri" w:hAnsi="Times New Roman" w:cs="Times New Roman"/>
          <w:snapToGrid w:val="0"/>
          <w:sz w:val="24"/>
          <w:szCs w:val="24"/>
        </w:rPr>
        <w:lastRenderedPageBreak/>
        <w:t>the implementation of the Committee’s limitations on stipends and outside earned income, that will advance the full-time nature of today’s legislative duties to, as a body, satisfy fulfillment of their statutory and Constitutional responsibilities.”</w:t>
      </w:r>
    </w:p>
    <w:p w14:paraId="75F54A23" w14:textId="77777777" w:rsidR="008B077F" w:rsidRPr="008B077F" w:rsidRDefault="008B077F" w:rsidP="008B077F">
      <w:pPr>
        <w:spacing w:after="0" w:line="240" w:lineRule="auto"/>
        <w:ind w:left="720" w:right="720"/>
        <w:jc w:val="both"/>
        <w:rPr>
          <w:rFonts w:ascii="Times New Roman" w:eastAsia="Calibri" w:hAnsi="Times New Roman" w:cs="Times New Roman"/>
          <w:snapToGrid w:val="0"/>
          <w:sz w:val="24"/>
          <w:szCs w:val="24"/>
        </w:rPr>
      </w:pPr>
    </w:p>
    <w:p w14:paraId="7B0F10C1" w14:textId="755CEEE7" w:rsidR="00417CA3" w:rsidRDefault="008B077F" w:rsidP="00B759E7">
      <w:pPr>
        <w:spacing w:after="0" w:line="240" w:lineRule="auto"/>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Once again, the Committee makes a word swap – changing “statutory and Constitutional responsibilities” to “statutory and Constitutional activities”.  And here, too, but now expressly</w:t>
      </w:r>
      <w:r w:rsidR="00A71A16">
        <w:rPr>
          <w:rFonts w:ascii="Times New Roman" w:eastAsia="Calibri" w:hAnsi="Times New Roman" w:cs="Times New Roman"/>
          <w:snapToGrid w:val="0"/>
          <w:sz w:val="24"/>
          <w:szCs w:val="24"/>
        </w:rPr>
        <w:t xml:space="preserve">, </w:t>
      </w:r>
      <w:r w:rsidRPr="008B077F">
        <w:rPr>
          <w:rFonts w:ascii="Times New Roman" w:eastAsia="Calibri" w:hAnsi="Times New Roman" w:cs="Times New Roman"/>
          <w:snapToGrid w:val="0"/>
          <w:sz w:val="24"/>
          <w:szCs w:val="24"/>
        </w:rPr>
        <w:t xml:space="preserve">it engages in redefinition, purporting that it can </w:t>
      </w:r>
      <w:r w:rsidR="00A71A16">
        <w:rPr>
          <w:rFonts w:ascii="Times New Roman" w:eastAsia="Calibri" w:hAnsi="Times New Roman" w:cs="Times New Roman"/>
          <w:snapToGrid w:val="0"/>
          <w:sz w:val="24"/>
          <w:szCs w:val="24"/>
        </w:rPr>
        <w:t xml:space="preserve">swap </w:t>
      </w:r>
      <w:r w:rsidR="00C445A7">
        <w:rPr>
          <w:rFonts w:ascii="Times New Roman" w:eastAsia="Calibri" w:hAnsi="Times New Roman" w:cs="Times New Roman"/>
          <w:snapToGrid w:val="0"/>
          <w:sz w:val="24"/>
          <w:szCs w:val="24"/>
        </w:rPr>
        <w:t>“</w:t>
      </w:r>
      <w:r w:rsidR="00A71A16">
        <w:rPr>
          <w:rFonts w:ascii="Times New Roman" w:eastAsia="Calibri" w:hAnsi="Times New Roman" w:cs="Times New Roman"/>
          <w:snapToGrid w:val="0"/>
          <w:sz w:val="24"/>
          <w:szCs w:val="24"/>
        </w:rPr>
        <w:t>performance</w:t>
      </w:r>
      <w:r w:rsidR="00FB0B0C">
        <w:rPr>
          <w:rFonts w:ascii="Times New Roman" w:eastAsia="Calibri" w:hAnsi="Times New Roman" w:cs="Times New Roman"/>
          <w:snapToGrid w:val="0"/>
          <w:sz w:val="24"/>
          <w:szCs w:val="24"/>
        </w:rPr>
        <w:t>”</w:t>
      </w:r>
      <w:r w:rsidR="00A71A16">
        <w:rPr>
          <w:rFonts w:ascii="Times New Roman" w:eastAsia="Calibri" w:hAnsi="Times New Roman" w:cs="Times New Roman"/>
          <w:snapToGrid w:val="0"/>
          <w:sz w:val="24"/>
          <w:szCs w:val="24"/>
        </w:rPr>
        <w:t xml:space="preserve"> – whose definition would be whether the Legislature has</w:t>
      </w:r>
      <w:r w:rsidR="00D9161B">
        <w:rPr>
          <w:rFonts w:ascii="Times New Roman" w:eastAsia="Calibri" w:hAnsi="Times New Roman" w:cs="Times New Roman"/>
          <w:snapToGrid w:val="0"/>
          <w:sz w:val="24"/>
          <w:szCs w:val="24"/>
        </w:rPr>
        <w:t xml:space="preserve"> </w:t>
      </w:r>
      <w:r w:rsidR="00A71A16">
        <w:rPr>
          <w:rFonts w:ascii="Times New Roman" w:eastAsia="Calibri" w:hAnsi="Times New Roman" w:cs="Times New Roman"/>
          <w:snapToGrid w:val="0"/>
          <w:sz w:val="24"/>
          <w:szCs w:val="24"/>
        </w:rPr>
        <w:t xml:space="preserve">met its </w:t>
      </w:r>
      <w:r w:rsidR="00B73257">
        <w:rPr>
          <w:rFonts w:ascii="Times New Roman" w:eastAsia="Calibri" w:hAnsi="Times New Roman" w:cs="Times New Roman"/>
          <w:snapToGrid w:val="0"/>
          <w:sz w:val="24"/>
          <w:szCs w:val="24"/>
        </w:rPr>
        <w:t>“statutory and C</w:t>
      </w:r>
      <w:r w:rsidR="00A71A16">
        <w:rPr>
          <w:rFonts w:ascii="Times New Roman" w:eastAsia="Calibri" w:hAnsi="Times New Roman" w:cs="Times New Roman"/>
          <w:snapToGrid w:val="0"/>
          <w:sz w:val="24"/>
          <w:szCs w:val="24"/>
        </w:rPr>
        <w:t>onstitutional responsibilities</w:t>
      </w:r>
      <w:r w:rsidR="00B73257">
        <w:rPr>
          <w:rFonts w:ascii="Times New Roman" w:eastAsia="Calibri" w:hAnsi="Times New Roman" w:cs="Times New Roman"/>
          <w:snapToGrid w:val="0"/>
          <w:sz w:val="24"/>
          <w:szCs w:val="24"/>
        </w:rPr>
        <w:t>”</w:t>
      </w:r>
      <w:r w:rsidR="00D9161B">
        <w:rPr>
          <w:rFonts w:ascii="Times New Roman" w:eastAsia="Calibri" w:hAnsi="Times New Roman" w:cs="Times New Roman"/>
          <w:snapToGrid w:val="0"/>
          <w:sz w:val="24"/>
          <w:szCs w:val="24"/>
        </w:rPr>
        <w:t xml:space="preserve"> in the past and currently</w:t>
      </w:r>
      <w:r w:rsidR="00A71A16">
        <w:rPr>
          <w:rFonts w:ascii="Times New Roman" w:eastAsia="Calibri" w:hAnsi="Times New Roman" w:cs="Times New Roman"/>
          <w:snapToGrid w:val="0"/>
          <w:sz w:val="24"/>
          <w:szCs w:val="24"/>
        </w:rPr>
        <w:t xml:space="preserve"> – for </w:t>
      </w:r>
      <w:r w:rsidR="00537266">
        <w:rPr>
          <w:rFonts w:ascii="Times New Roman" w:eastAsia="Calibri" w:hAnsi="Times New Roman" w:cs="Times New Roman"/>
          <w:snapToGrid w:val="0"/>
          <w:sz w:val="24"/>
          <w:szCs w:val="24"/>
        </w:rPr>
        <w:t>future</w:t>
      </w:r>
      <w:r w:rsidR="00A71A16">
        <w:rPr>
          <w:rFonts w:ascii="Times New Roman" w:eastAsia="Calibri" w:hAnsi="Times New Roman" w:cs="Times New Roman"/>
          <w:snapToGrid w:val="0"/>
          <w:sz w:val="24"/>
          <w:szCs w:val="24"/>
        </w:rPr>
        <w:t xml:space="preserve"> legislative </w:t>
      </w:r>
      <w:r w:rsidRPr="008B077F">
        <w:rPr>
          <w:rFonts w:ascii="Times New Roman" w:eastAsia="Calibri" w:hAnsi="Times New Roman" w:cs="Times New Roman"/>
          <w:snapToGrid w:val="0"/>
          <w:sz w:val="24"/>
          <w:szCs w:val="24"/>
        </w:rPr>
        <w:t xml:space="preserve">acceptance of “limitations on stipends and outside earned income” – </w:t>
      </w:r>
      <w:r w:rsidR="00A71A16" w:rsidRPr="00B73257">
        <w:rPr>
          <w:rFonts w:ascii="Times New Roman" w:eastAsia="Calibri" w:hAnsi="Times New Roman" w:cs="Times New Roman"/>
          <w:snapToGrid w:val="0"/>
          <w:sz w:val="24"/>
          <w:szCs w:val="24"/>
          <w:u w:val="single"/>
        </w:rPr>
        <w:t xml:space="preserve">neither of which the Legislature has any </w:t>
      </w:r>
      <w:r w:rsidR="003F7007" w:rsidRPr="00B73257">
        <w:rPr>
          <w:rFonts w:ascii="Times New Roman" w:eastAsia="Calibri" w:hAnsi="Times New Roman" w:cs="Times New Roman"/>
          <w:snapToGrid w:val="0"/>
          <w:sz w:val="24"/>
          <w:szCs w:val="24"/>
          <w:u w:val="single"/>
        </w:rPr>
        <w:t xml:space="preserve">constitutional or statutory </w:t>
      </w:r>
      <w:r w:rsidR="00B24AE3">
        <w:rPr>
          <w:rFonts w:ascii="Times New Roman" w:eastAsia="Calibri" w:hAnsi="Times New Roman" w:cs="Times New Roman"/>
          <w:snapToGrid w:val="0"/>
          <w:sz w:val="24"/>
          <w:szCs w:val="24"/>
          <w:u w:val="single"/>
        </w:rPr>
        <w:t>duty</w:t>
      </w:r>
      <w:r w:rsidR="003F7007" w:rsidRPr="00B73257">
        <w:rPr>
          <w:rFonts w:ascii="Times New Roman" w:eastAsia="Calibri" w:hAnsi="Times New Roman" w:cs="Times New Roman"/>
          <w:snapToGrid w:val="0"/>
          <w:sz w:val="24"/>
          <w:szCs w:val="24"/>
          <w:u w:val="single"/>
        </w:rPr>
        <w:t xml:space="preserve"> to enact and which, assuredly, constitute a “litmus test by issue”, arising from “the needs [and] wants” of a select band of citizens</w:t>
      </w:r>
      <w:r w:rsidR="003F7007">
        <w:rPr>
          <w:rFonts w:ascii="Times New Roman" w:eastAsia="Calibri" w:hAnsi="Times New Roman" w:cs="Times New Roman"/>
          <w:snapToGrid w:val="0"/>
          <w:sz w:val="24"/>
          <w:szCs w:val="24"/>
        </w:rPr>
        <w:t xml:space="preserve">.  </w:t>
      </w:r>
      <w:r w:rsidR="00537266">
        <w:rPr>
          <w:rFonts w:ascii="Times New Roman" w:eastAsia="Calibri" w:hAnsi="Times New Roman" w:cs="Times New Roman"/>
          <w:snapToGrid w:val="0"/>
          <w:sz w:val="24"/>
          <w:szCs w:val="24"/>
        </w:rPr>
        <w:t xml:space="preserve">Without </w:t>
      </w:r>
      <w:r w:rsidR="00D9161B">
        <w:rPr>
          <w:rFonts w:ascii="Times New Roman" w:eastAsia="Calibri" w:hAnsi="Times New Roman" w:cs="Times New Roman"/>
          <w:snapToGrid w:val="0"/>
          <w:sz w:val="24"/>
          <w:szCs w:val="24"/>
        </w:rPr>
        <w:t xml:space="preserve">asserting that </w:t>
      </w:r>
      <w:r w:rsidR="00537266">
        <w:rPr>
          <w:rFonts w:ascii="Times New Roman" w:eastAsia="Calibri" w:hAnsi="Times New Roman" w:cs="Times New Roman"/>
          <w:snapToGrid w:val="0"/>
          <w:sz w:val="24"/>
          <w:szCs w:val="24"/>
        </w:rPr>
        <w:t>“the body as a whole”</w:t>
      </w:r>
      <w:r w:rsidR="00417CA3">
        <w:rPr>
          <w:rFonts w:ascii="Times New Roman" w:eastAsia="Calibri" w:hAnsi="Times New Roman" w:cs="Times New Roman"/>
          <w:snapToGrid w:val="0"/>
          <w:sz w:val="24"/>
          <w:szCs w:val="24"/>
        </w:rPr>
        <w:t xml:space="preserve">, as presently constituted, </w:t>
      </w:r>
      <w:r w:rsidR="00D9161B">
        <w:rPr>
          <w:rFonts w:ascii="Times New Roman" w:eastAsia="Calibri" w:hAnsi="Times New Roman" w:cs="Times New Roman"/>
          <w:snapToGrid w:val="0"/>
          <w:sz w:val="24"/>
          <w:szCs w:val="24"/>
        </w:rPr>
        <w:t>has failed to fulfill</w:t>
      </w:r>
      <w:r w:rsidR="00417CA3">
        <w:rPr>
          <w:rFonts w:ascii="Times New Roman" w:eastAsia="Calibri" w:hAnsi="Times New Roman" w:cs="Times New Roman"/>
          <w:snapToGrid w:val="0"/>
          <w:sz w:val="24"/>
          <w:szCs w:val="24"/>
        </w:rPr>
        <w:t xml:space="preserve"> </w:t>
      </w:r>
      <w:r w:rsidR="00D9161B">
        <w:rPr>
          <w:rFonts w:ascii="Times New Roman" w:eastAsia="Calibri" w:hAnsi="Times New Roman" w:cs="Times New Roman"/>
          <w:snapToGrid w:val="0"/>
          <w:sz w:val="24"/>
          <w:szCs w:val="24"/>
        </w:rPr>
        <w:t>its</w:t>
      </w:r>
      <w:r w:rsidR="00537266">
        <w:rPr>
          <w:rFonts w:ascii="Times New Roman" w:eastAsia="Calibri" w:hAnsi="Times New Roman" w:cs="Times New Roman"/>
          <w:snapToGrid w:val="0"/>
          <w:sz w:val="24"/>
          <w:szCs w:val="24"/>
        </w:rPr>
        <w:t xml:space="preserve"> “statutory and Constitutional responsibili</w:t>
      </w:r>
      <w:r w:rsidR="00D9161B">
        <w:rPr>
          <w:rFonts w:ascii="Times New Roman" w:eastAsia="Calibri" w:hAnsi="Times New Roman" w:cs="Times New Roman"/>
          <w:snapToGrid w:val="0"/>
          <w:sz w:val="24"/>
          <w:szCs w:val="24"/>
        </w:rPr>
        <w:t>ti</w:t>
      </w:r>
      <w:r w:rsidR="00537266">
        <w:rPr>
          <w:rFonts w:ascii="Times New Roman" w:eastAsia="Calibri" w:hAnsi="Times New Roman" w:cs="Times New Roman"/>
          <w:snapToGrid w:val="0"/>
          <w:sz w:val="24"/>
          <w:szCs w:val="24"/>
        </w:rPr>
        <w:t>es”</w:t>
      </w:r>
      <w:r w:rsidR="00D9161B">
        <w:rPr>
          <w:rFonts w:ascii="Times New Roman" w:eastAsia="Calibri" w:hAnsi="Times New Roman" w:cs="Times New Roman"/>
          <w:snapToGrid w:val="0"/>
          <w:sz w:val="24"/>
          <w:szCs w:val="24"/>
        </w:rPr>
        <w:t xml:space="preserve"> – </w:t>
      </w:r>
      <w:r w:rsidR="00D74F59">
        <w:rPr>
          <w:rFonts w:ascii="Times New Roman" w:eastAsia="Calibri" w:hAnsi="Times New Roman" w:cs="Times New Roman"/>
          <w:snapToGrid w:val="0"/>
          <w:sz w:val="24"/>
          <w:szCs w:val="24"/>
        </w:rPr>
        <w:t xml:space="preserve">let alone showing same to be </w:t>
      </w:r>
      <w:r w:rsidR="00D9161B">
        <w:rPr>
          <w:rFonts w:ascii="Times New Roman" w:eastAsia="Calibri" w:hAnsi="Times New Roman" w:cs="Times New Roman"/>
          <w:snapToGrid w:val="0"/>
          <w:sz w:val="24"/>
          <w:szCs w:val="24"/>
        </w:rPr>
        <w:t xml:space="preserve">attributable to “stipends and outside </w:t>
      </w:r>
      <w:r w:rsidR="00417CA3">
        <w:rPr>
          <w:rFonts w:ascii="Times New Roman" w:eastAsia="Calibri" w:hAnsi="Times New Roman" w:cs="Times New Roman"/>
          <w:snapToGrid w:val="0"/>
          <w:sz w:val="24"/>
          <w:szCs w:val="24"/>
        </w:rPr>
        <w:t xml:space="preserve">earned </w:t>
      </w:r>
      <w:r w:rsidR="00D9161B">
        <w:rPr>
          <w:rFonts w:ascii="Times New Roman" w:eastAsia="Calibri" w:hAnsi="Times New Roman" w:cs="Times New Roman"/>
          <w:snapToGrid w:val="0"/>
          <w:sz w:val="24"/>
          <w:szCs w:val="24"/>
        </w:rPr>
        <w:t>income”</w:t>
      </w:r>
      <w:r w:rsidR="009207AF">
        <w:rPr>
          <w:rFonts w:ascii="Times New Roman" w:eastAsia="Calibri" w:hAnsi="Times New Roman" w:cs="Times New Roman"/>
          <w:snapToGrid w:val="0"/>
          <w:sz w:val="24"/>
          <w:szCs w:val="24"/>
        </w:rPr>
        <w:t xml:space="preserve"> –</w:t>
      </w:r>
      <w:r w:rsidR="00D9161B">
        <w:rPr>
          <w:rFonts w:ascii="Times New Roman" w:eastAsia="Calibri" w:hAnsi="Times New Roman" w:cs="Times New Roman"/>
          <w:snapToGrid w:val="0"/>
          <w:sz w:val="24"/>
          <w:szCs w:val="24"/>
        </w:rPr>
        <w:t xml:space="preserve"> the Committee </w:t>
      </w:r>
      <w:r w:rsidR="00417CA3">
        <w:rPr>
          <w:rFonts w:ascii="Times New Roman" w:eastAsia="Calibri" w:hAnsi="Times New Roman" w:cs="Times New Roman"/>
          <w:snapToGrid w:val="0"/>
          <w:sz w:val="24"/>
          <w:szCs w:val="24"/>
        </w:rPr>
        <w:t xml:space="preserve">nonetheless </w:t>
      </w:r>
      <w:r w:rsidR="008F72EE">
        <w:rPr>
          <w:rFonts w:ascii="Times New Roman" w:eastAsia="Calibri" w:hAnsi="Times New Roman" w:cs="Times New Roman"/>
          <w:snapToGrid w:val="0"/>
          <w:sz w:val="24"/>
          <w:szCs w:val="24"/>
        </w:rPr>
        <w:t>“find</w:t>
      </w:r>
      <w:r w:rsidR="009207AF">
        <w:rPr>
          <w:rFonts w:ascii="Times New Roman" w:eastAsia="Calibri" w:hAnsi="Times New Roman" w:cs="Times New Roman"/>
          <w:snapToGrid w:val="0"/>
          <w:sz w:val="24"/>
          <w:szCs w:val="24"/>
        </w:rPr>
        <w:t>[</w:t>
      </w:r>
      <w:r w:rsidR="008F72EE">
        <w:rPr>
          <w:rFonts w:ascii="Times New Roman" w:eastAsia="Calibri" w:hAnsi="Times New Roman" w:cs="Times New Roman"/>
          <w:snapToGrid w:val="0"/>
          <w:sz w:val="24"/>
          <w:szCs w:val="24"/>
        </w:rPr>
        <w:t>s</w:t>
      </w:r>
      <w:r w:rsidR="009207AF">
        <w:rPr>
          <w:rFonts w:ascii="Times New Roman" w:eastAsia="Calibri" w:hAnsi="Times New Roman" w:cs="Times New Roman"/>
          <w:snapToGrid w:val="0"/>
          <w:sz w:val="24"/>
          <w:szCs w:val="24"/>
        </w:rPr>
        <w:t>]</w:t>
      </w:r>
      <w:r w:rsidR="008F72EE">
        <w:rPr>
          <w:rFonts w:ascii="Times New Roman" w:eastAsia="Calibri" w:hAnsi="Times New Roman" w:cs="Times New Roman"/>
          <w:snapToGrid w:val="0"/>
          <w:sz w:val="24"/>
          <w:szCs w:val="24"/>
        </w:rPr>
        <w:t xml:space="preserve">” </w:t>
      </w:r>
      <w:r w:rsidR="00D9161B">
        <w:rPr>
          <w:rFonts w:ascii="Times New Roman" w:eastAsia="Calibri" w:hAnsi="Times New Roman" w:cs="Times New Roman"/>
          <w:snapToGrid w:val="0"/>
          <w:sz w:val="24"/>
          <w:szCs w:val="24"/>
        </w:rPr>
        <w:t xml:space="preserve">that </w:t>
      </w:r>
      <w:r w:rsidR="00417CA3">
        <w:rPr>
          <w:rFonts w:ascii="Times New Roman" w:eastAsia="Calibri" w:hAnsi="Times New Roman" w:cs="Times New Roman"/>
          <w:snapToGrid w:val="0"/>
          <w:sz w:val="24"/>
          <w:szCs w:val="24"/>
        </w:rPr>
        <w:t>reconfiguring the Legislature without “stipends and outside earned income” will “advance the full-time nature of today’s legislative duties”</w:t>
      </w:r>
      <w:r w:rsidR="008F72EE">
        <w:rPr>
          <w:rFonts w:ascii="Times New Roman" w:eastAsia="Calibri" w:hAnsi="Times New Roman" w:cs="Times New Roman"/>
          <w:snapToGrid w:val="0"/>
          <w:sz w:val="24"/>
          <w:szCs w:val="24"/>
        </w:rPr>
        <w:t xml:space="preserve"> so that it can fulfill “statutory and Constitutional duties” </w:t>
      </w:r>
      <w:r w:rsidR="00B73257">
        <w:rPr>
          <w:rFonts w:ascii="Times New Roman" w:eastAsia="Calibri" w:hAnsi="Times New Roman" w:cs="Times New Roman"/>
          <w:snapToGrid w:val="0"/>
          <w:sz w:val="24"/>
          <w:szCs w:val="24"/>
        </w:rPr>
        <w:t>that the Committee h</w:t>
      </w:r>
      <w:r w:rsidR="008F72EE">
        <w:rPr>
          <w:rFonts w:ascii="Times New Roman" w:eastAsia="Calibri" w:hAnsi="Times New Roman" w:cs="Times New Roman"/>
          <w:snapToGrid w:val="0"/>
          <w:sz w:val="24"/>
          <w:szCs w:val="24"/>
        </w:rPr>
        <w:t>as not alleged to be deficient</w:t>
      </w:r>
      <w:r w:rsidR="00417CA3">
        <w:rPr>
          <w:rFonts w:ascii="Times New Roman" w:eastAsia="Calibri" w:hAnsi="Times New Roman" w:cs="Times New Roman"/>
          <w:snapToGrid w:val="0"/>
          <w:sz w:val="24"/>
          <w:szCs w:val="24"/>
        </w:rPr>
        <w:t>.</w:t>
      </w:r>
      <w:r w:rsidR="008F72EE">
        <w:rPr>
          <w:rFonts w:ascii="Times New Roman" w:eastAsia="Calibri" w:hAnsi="Times New Roman" w:cs="Times New Roman"/>
          <w:snapToGrid w:val="0"/>
          <w:sz w:val="24"/>
          <w:szCs w:val="24"/>
        </w:rPr>
        <w:t xml:space="preserve">   This is baseless nonsense.</w:t>
      </w:r>
    </w:p>
    <w:p w14:paraId="24D3595F" w14:textId="5B1869ED" w:rsidR="00417CA3" w:rsidRDefault="00417CA3" w:rsidP="00B759E7">
      <w:pPr>
        <w:spacing w:after="0" w:line="240" w:lineRule="auto"/>
        <w:jc w:val="both"/>
        <w:rPr>
          <w:rFonts w:ascii="Times New Roman" w:eastAsia="Calibri" w:hAnsi="Times New Roman" w:cs="Times New Roman"/>
          <w:snapToGrid w:val="0"/>
          <w:sz w:val="24"/>
          <w:szCs w:val="24"/>
        </w:rPr>
      </w:pPr>
    </w:p>
    <w:p w14:paraId="1E1AD803" w14:textId="17D4013C" w:rsidR="006171C0" w:rsidRDefault="001374BC" w:rsidP="00B759E7">
      <w:pPr>
        <w:spacing w:after="0" w:line="240" w:lineRule="auto"/>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By contrast, </w:t>
      </w:r>
      <w:r w:rsidR="00630106">
        <w:rPr>
          <w:rFonts w:ascii="Times New Roman" w:eastAsia="Calibri" w:hAnsi="Times New Roman" w:cs="Times New Roman"/>
          <w:snapToGrid w:val="0"/>
          <w:sz w:val="24"/>
          <w:szCs w:val="24"/>
        </w:rPr>
        <w:t xml:space="preserve">at the November 30, 2018 hearing, </w:t>
      </w:r>
      <w:r w:rsidR="00B24AE3">
        <w:rPr>
          <w:rFonts w:ascii="Times New Roman" w:eastAsia="Calibri" w:hAnsi="Times New Roman" w:cs="Times New Roman"/>
          <w:snapToGrid w:val="0"/>
          <w:sz w:val="24"/>
          <w:szCs w:val="24"/>
        </w:rPr>
        <w:t xml:space="preserve">CJA director </w:t>
      </w:r>
      <w:r>
        <w:rPr>
          <w:rFonts w:ascii="Times New Roman" w:eastAsia="Calibri" w:hAnsi="Times New Roman" w:cs="Times New Roman"/>
          <w:snapToGrid w:val="0"/>
          <w:sz w:val="24"/>
          <w:szCs w:val="24"/>
        </w:rPr>
        <w:t>Sassower asserted t</w:t>
      </w:r>
      <w:r w:rsidR="00F90B17">
        <w:rPr>
          <w:rFonts w:ascii="Times New Roman" w:eastAsia="Calibri" w:hAnsi="Times New Roman" w:cs="Times New Roman"/>
          <w:snapToGrid w:val="0"/>
          <w:sz w:val="24"/>
          <w:szCs w:val="24"/>
        </w:rPr>
        <w:t xml:space="preserve">hat the </w:t>
      </w:r>
      <w:r w:rsidR="005A7C02">
        <w:rPr>
          <w:rFonts w:ascii="Times New Roman" w:eastAsia="Calibri" w:hAnsi="Times New Roman" w:cs="Times New Roman"/>
          <w:snapToGrid w:val="0"/>
          <w:sz w:val="24"/>
          <w:szCs w:val="24"/>
        </w:rPr>
        <w:t>L</w:t>
      </w:r>
      <w:r w:rsidR="00F90B17">
        <w:rPr>
          <w:rFonts w:ascii="Times New Roman" w:eastAsia="Calibri" w:hAnsi="Times New Roman" w:cs="Times New Roman"/>
          <w:snapToGrid w:val="0"/>
          <w:sz w:val="24"/>
          <w:szCs w:val="24"/>
        </w:rPr>
        <w:t xml:space="preserve">egislature has fallen below any constitutionally acceptable level of functioning – </w:t>
      </w:r>
      <w:r w:rsidR="005331E5">
        <w:rPr>
          <w:rFonts w:ascii="Times New Roman" w:eastAsia="Calibri" w:hAnsi="Times New Roman" w:cs="Times New Roman"/>
          <w:snapToGrid w:val="0"/>
          <w:sz w:val="24"/>
          <w:szCs w:val="24"/>
        </w:rPr>
        <w:t>a</w:t>
      </w:r>
      <w:r>
        <w:rPr>
          <w:rFonts w:ascii="Times New Roman" w:eastAsia="Calibri" w:hAnsi="Times New Roman" w:cs="Times New Roman"/>
          <w:snapToGrid w:val="0"/>
          <w:sz w:val="24"/>
          <w:szCs w:val="24"/>
        </w:rPr>
        <w:t xml:space="preserve">nd that this was verifiable from </w:t>
      </w:r>
      <w:r w:rsidR="00D74F59">
        <w:rPr>
          <w:rFonts w:ascii="Times New Roman" w:eastAsia="Calibri" w:hAnsi="Times New Roman" w:cs="Times New Roman"/>
          <w:snapToGrid w:val="0"/>
          <w:sz w:val="24"/>
          <w:szCs w:val="24"/>
        </w:rPr>
        <w:t xml:space="preserve">the </w:t>
      </w:r>
      <w:r w:rsidR="00F90B17">
        <w:rPr>
          <w:rFonts w:ascii="Times New Roman" w:eastAsia="Calibri" w:hAnsi="Times New Roman" w:cs="Times New Roman"/>
          <w:snapToGrid w:val="0"/>
          <w:sz w:val="24"/>
          <w:szCs w:val="24"/>
        </w:rPr>
        <w:t>second citizen-taxpayer action, whose record she handed up for verification</w:t>
      </w:r>
      <w:r w:rsidR="0034136B">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 xml:space="preserve">The </w:t>
      </w:r>
      <w:r w:rsidR="00EE6D8D">
        <w:rPr>
          <w:rFonts w:ascii="Times New Roman" w:eastAsia="Calibri" w:hAnsi="Times New Roman" w:cs="Times New Roman"/>
          <w:snapToGrid w:val="0"/>
          <w:sz w:val="24"/>
          <w:szCs w:val="24"/>
        </w:rPr>
        <w:t xml:space="preserve">record </w:t>
      </w:r>
      <w:r w:rsidR="007F477D">
        <w:rPr>
          <w:rFonts w:ascii="Times New Roman" w:eastAsia="Calibri" w:hAnsi="Times New Roman" w:cs="Times New Roman"/>
          <w:snapToGrid w:val="0"/>
          <w:sz w:val="24"/>
          <w:szCs w:val="24"/>
        </w:rPr>
        <w:t xml:space="preserve">itself </w:t>
      </w:r>
      <w:r w:rsidR="00D74F59">
        <w:rPr>
          <w:rFonts w:ascii="Times New Roman" w:eastAsia="Calibri" w:hAnsi="Times New Roman" w:cs="Times New Roman"/>
          <w:snapToGrid w:val="0"/>
          <w:sz w:val="24"/>
          <w:szCs w:val="24"/>
        </w:rPr>
        <w:t xml:space="preserve">rebutted that there was any difference between </w:t>
      </w:r>
      <w:r w:rsidR="006171C0">
        <w:rPr>
          <w:rFonts w:ascii="Times New Roman" w:eastAsia="Calibri" w:hAnsi="Times New Roman" w:cs="Times New Roman"/>
          <w:snapToGrid w:val="0"/>
          <w:sz w:val="24"/>
          <w:szCs w:val="24"/>
        </w:rPr>
        <w:t xml:space="preserve">full-time </w:t>
      </w:r>
      <w:r w:rsidR="004D5FF0">
        <w:rPr>
          <w:rFonts w:ascii="Times New Roman" w:eastAsia="Calibri" w:hAnsi="Times New Roman" w:cs="Times New Roman"/>
          <w:snapToGrid w:val="0"/>
          <w:sz w:val="24"/>
          <w:szCs w:val="24"/>
        </w:rPr>
        <w:t>legislators without outside earned income</w:t>
      </w:r>
      <w:r w:rsidR="006171C0">
        <w:rPr>
          <w:rFonts w:ascii="Times New Roman" w:eastAsia="Calibri" w:hAnsi="Times New Roman" w:cs="Times New Roman"/>
          <w:snapToGrid w:val="0"/>
          <w:sz w:val="24"/>
          <w:szCs w:val="24"/>
        </w:rPr>
        <w:t>, and part-time legislators, with outside earned income</w:t>
      </w:r>
      <w:r w:rsidR="0098241B">
        <w:rPr>
          <w:rFonts w:ascii="Times New Roman" w:eastAsia="Calibri" w:hAnsi="Times New Roman" w:cs="Times New Roman"/>
          <w:snapToGrid w:val="0"/>
          <w:sz w:val="24"/>
          <w:szCs w:val="24"/>
        </w:rPr>
        <w:t xml:space="preserve"> – and established that the issue was capable of empirical proof.  </w:t>
      </w:r>
      <w:r w:rsidR="005A7C02">
        <w:rPr>
          <w:rFonts w:ascii="Times New Roman" w:eastAsia="Calibri" w:hAnsi="Times New Roman" w:cs="Times New Roman"/>
          <w:snapToGrid w:val="0"/>
          <w:sz w:val="24"/>
          <w:szCs w:val="24"/>
        </w:rPr>
        <w:t xml:space="preserve">It contained </w:t>
      </w:r>
      <w:r w:rsidR="00EE6D8D">
        <w:rPr>
          <w:rFonts w:ascii="Times New Roman" w:eastAsia="Calibri" w:hAnsi="Times New Roman" w:cs="Times New Roman"/>
          <w:snapToGrid w:val="0"/>
          <w:sz w:val="24"/>
          <w:szCs w:val="24"/>
        </w:rPr>
        <w:t>an excerpt of</w:t>
      </w:r>
      <w:r w:rsidR="00FB0B0C">
        <w:rPr>
          <w:rFonts w:ascii="Times New Roman" w:eastAsia="Calibri" w:hAnsi="Times New Roman" w:cs="Times New Roman"/>
          <w:snapToGrid w:val="0"/>
          <w:sz w:val="24"/>
          <w:szCs w:val="24"/>
        </w:rPr>
        <w:t xml:space="preserve"> </w:t>
      </w:r>
      <w:r w:rsidR="003072E0">
        <w:rPr>
          <w:rFonts w:ascii="Times New Roman" w:eastAsia="Calibri" w:hAnsi="Times New Roman" w:cs="Times New Roman"/>
          <w:snapToGrid w:val="0"/>
          <w:sz w:val="24"/>
          <w:szCs w:val="24"/>
        </w:rPr>
        <w:t>her</w:t>
      </w:r>
      <w:r w:rsidR="00BD00E0">
        <w:rPr>
          <w:rFonts w:ascii="Times New Roman" w:eastAsia="Calibri" w:hAnsi="Times New Roman" w:cs="Times New Roman"/>
          <w:snapToGrid w:val="0"/>
          <w:sz w:val="24"/>
          <w:szCs w:val="24"/>
        </w:rPr>
        <w:t xml:space="preserve"> </w:t>
      </w:r>
      <w:r w:rsidR="00FB0B0C">
        <w:rPr>
          <w:rFonts w:ascii="Times New Roman" w:eastAsia="Calibri" w:hAnsi="Times New Roman" w:cs="Times New Roman"/>
          <w:snapToGrid w:val="0"/>
          <w:sz w:val="24"/>
          <w:szCs w:val="24"/>
        </w:rPr>
        <w:t xml:space="preserve">oral </w:t>
      </w:r>
      <w:r w:rsidR="00BD00E0">
        <w:rPr>
          <w:rFonts w:ascii="Times New Roman" w:eastAsia="Calibri" w:hAnsi="Times New Roman" w:cs="Times New Roman"/>
          <w:snapToGrid w:val="0"/>
          <w:sz w:val="24"/>
          <w:szCs w:val="24"/>
        </w:rPr>
        <w:t>testimony</w:t>
      </w:r>
      <w:r>
        <w:rPr>
          <w:rFonts w:ascii="Times New Roman" w:eastAsia="Calibri" w:hAnsi="Times New Roman" w:cs="Times New Roman"/>
          <w:snapToGrid w:val="0"/>
          <w:sz w:val="24"/>
          <w:szCs w:val="24"/>
        </w:rPr>
        <w:t xml:space="preserve"> at the Legislature’s </w:t>
      </w:r>
      <w:r w:rsidR="00BD00E0">
        <w:rPr>
          <w:rFonts w:ascii="Times New Roman" w:eastAsia="Calibri" w:hAnsi="Times New Roman" w:cs="Times New Roman"/>
          <w:snapToGrid w:val="0"/>
          <w:sz w:val="24"/>
          <w:szCs w:val="24"/>
        </w:rPr>
        <w:t>January 30, 2017 budget hearing,</w:t>
      </w:r>
      <w:r w:rsidR="0098241B">
        <w:rPr>
          <w:rFonts w:ascii="Times New Roman" w:eastAsia="Calibri" w:hAnsi="Times New Roman" w:cs="Times New Roman"/>
          <w:snapToGrid w:val="0"/>
          <w:sz w:val="24"/>
          <w:szCs w:val="24"/>
        </w:rPr>
        <w:t xml:space="preserve"> </w:t>
      </w:r>
      <w:r w:rsidR="005A7C02">
        <w:rPr>
          <w:rFonts w:ascii="Times New Roman" w:eastAsia="Calibri" w:hAnsi="Times New Roman" w:cs="Times New Roman"/>
          <w:snapToGrid w:val="0"/>
          <w:sz w:val="24"/>
          <w:szCs w:val="24"/>
        </w:rPr>
        <w:t>in which she had stated</w:t>
      </w:r>
      <w:r w:rsidR="00BD00E0">
        <w:rPr>
          <w:rFonts w:ascii="Times New Roman" w:eastAsia="Calibri" w:hAnsi="Times New Roman" w:cs="Times New Roman"/>
          <w:snapToGrid w:val="0"/>
          <w:sz w:val="24"/>
          <w:szCs w:val="24"/>
        </w:rPr>
        <w:t>:</w:t>
      </w:r>
    </w:p>
    <w:p w14:paraId="008BC1AB" w14:textId="77777777" w:rsidR="006171C0" w:rsidRDefault="006171C0" w:rsidP="00B759E7">
      <w:pPr>
        <w:spacing w:after="0" w:line="240" w:lineRule="auto"/>
        <w:jc w:val="both"/>
        <w:rPr>
          <w:rFonts w:ascii="Times New Roman" w:eastAsia="Calibri" w:hAnsi="Times New Roman" w:cs="Times New Roman"/>
          <w:snapToGrid w:val="0"/>
          <w:sz w:val="24"/>
          <w:szCs w:val="24"/>
        </w:rPr>
      </w:pPr>
    </w:p>
    <w:p w14:paraId="2B9169E1" w14:textId="5C8551F3" w:rsidR="006171C0" w:rsidRPr="006171C0" w:rsidRDefault="006171C0" w:rsidP="006171C0">
      <w:pPr>
        <w:spacing w:after="0" w:line="240" w:lineRule="auto"/>
        <w:ind w:left="720" w:right="720"/>
        <w:jc w:val="both"/>
        <w:rPr>
          <w:rFonts w:ascii="Times New Roman" w:eastAsia="Times New Roman" w:hAnsi="Times New Roman" w:cs="Courier New"/>
          <w:sz w:val="24"/>
          <w:szCs w:val="26"/>
        </w:rPr>
      </w:pPr>
      <w:r w:rsidRPr="006171C0">
        <w:rPr>
          <w:rFonts w:ascii="Times New Roman" w:eastAsia="Times New Roman" w:hAnsi="Times New Roman" w:cs="Times New Roman"/>
          <w:sz w:val="24"/>
          <w:szCs w:val="24"/>
        </w:rPr>
        <w:t>“The reason why Albany is dysfunctional, the Legislature is dysfunctional, has nothing to do with whether there are full time legislators or part-time legislators, whether you earn outside income or not, whether we have public campaign financing or not. That is bogus. Because there is no difference, empirically – I’ve interacted with members of the Legislature for 25 years, and I can tell you there’s no difference between a legislator who purports to be full-time or one who has outside work. There’s no difference. The problem is that you don’t have</w:t>
      </w:r>
      <w:r w:rsidRPr="006171C0">
        <w:rPr>
          <w:rFonts w:ascii="Times New Roman" w:eastAsia="Times New Roman" w:hAnsi="Times New Roman" w:cs="Courier New"/>
          <w:sz w:val="24"/>
          <w:szCs w:val="26"/>
        </w:rPr>
        <w:t xml:space="preserve"> the resources and you are emasculated by rules. (transcript, pp. 524-525)</w:t>
      </w:r>
      <w:r w:rsidR="00FB0B0C">
        <w:rPr>
          <w:rFonts w:ascii="Times New Roman" w:eastAsia="Times New Roman" w:hAnsi="Times New Roman" w:cs="Courier New"/>
          <w:sz w:val="24"/>
          <w:szCs w:val="26"/>
        </w:rPr>
        <w:t>”</w:t>
      </w:r>
      <w:r w:rsidR="00542632">
        <w:rPr>
          <w:rFonts w:ascii="Times New Roman" w:eastAsia="Times New Roman" w:hAnsi="Times New Roman" w:cs="Courier New"/>
          <w:sz w:val="24"/>
          <w:szCs w:val="26"/>
        </w:rPr>
        <w:t>,</w:t>
      </w:r>
    </w:p>
    <w:p w14:paraId="0497A114" w14:textId="77777777" w:rsidR="006171C0" w:rsidRPr="006171C0" w:rsidRDefault="006171C0" w:rsidP="006171C0">
      <w:pPr>
        <w:spacing w:after="0" w:line="240" w:lineRule="auto"/>
        <w:ind w:left="720" w:right="720"/>
        <w:jc w:val="both"/>
        <w:rPr>
          <w:rFonts w:ascii="Times New Roman" w:eastAsia="Times New Roman" w:hAnsi="Times New Roman" w:cs="Times New Roman"/>
          <w:snapToGrid w:val="0"/>
          <w:sz w:val="24"/>
          <w:szCs w:val="24"/>
        </w:rPr>
      </w:pPr>
    </w:p>
    <w:p w14:paraId="28293379" w14:textId="7AEC7885" w:rsidR="00B30F84" w:rsidRDefault="00734270" w:rsidP="005F76EB">
      <w:pPr>
        <w:spacing w:after="0" w:line="240" w:lineRule="auto"/>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It also included her subsequent </w:t>
      </w:r>
      <w:r w:rsidR="00B30F84">
        <w:rPr>
          <w:rFonts w:ascii="Times New Roman" w:eastAsia="Calibri" w:hAnsi="Times New Roman" w:cs="Times New Roman"/>
          <w:snapToGrid w:val="0"/>
          <w:sz w:val="24"/>
          <w:szCs w:val="24"/>
        </w:rPr>
        <w:t>e</w:t>
      </w:r>
      <w:r w:rsidR="00EE6D8D">
        <w:rPr>
          <w:rFonts w:ascii="Times New Roman" w:eastAsia="Calibri" w:hAnsi="Times New Roman" w:cs="Times New Roman"/>
          <w:snapToGrid w:val="0"/>
          <w:sz w:val="24"/>
          <w:szCs w:val="24"/>
        </w:rPr>
        <w:t>mpirical test</w:t>
      </w:r>
      <w:r w:rsidR="00542632">
        <w:rPr>
          <w:rFonts w:ascii="Times New Roman" w:eastAsia="Calibri" w:hAnsi="Times New Roman" w:cs="Times New Roman"/>
          <w:snapToGrid w:val="0"/>
          <w:sz w:val="24"/>
          <w:szCs w:val="24"/>
        </w:rPr>
        <w:t xml:space="preserve"> between </w:t>
      </w:r>
      <w:r w:rsidR="005F76EB">
        <w:rPr>
          <w:rFonts w:ascii="Times New Roman" w:eastAsia="Calibri" w:hAnsi="Times New Roman" w:cs="Times New Roman"/>
          <w:snapToGrid w:val="0"/>
          <w:sz w:val="24"/>
          <w:szCs w:val="24"/>
        </w:rPr>
        <w:t xml:space="preserve">three </w:t>
      </w:r>
      <w:r w:rsidR="001374BC">
        <w:rPr>
          <w:rFonts w:ascii="Times New Roman" w:eastAsia="Calibri" w:hAnsi="Times New Roman" w:cs="Times New Roman"/>
          <w:snapToGrid w:val="0"/>
          <w:sz w:val="24"/>
          <w:szCs w:val="24"/>
        </w:rPr>
        <w:t xml:space="preserve">full-time </w:t>
      </w:r>
      <w:r w:rsidR="007F477D">
        <w:rPr>
          <w:rFonts w:ascii="Times New Roman" w:eastAsia="Calibri" w:hAnsi="Times New Roman" w:cs="Times New Roman"/>
          <w:snapToGrid w:val="0"/>
          <w:sz w:val="24"/>
          <w:szCs w:val="24"/>
        </w:rPr>
        <w:t xml:space="preserve">legislators </w:t>
      </w:r>
      <w:r w:rsidR="00542632">
        <w:rPr>
          <w:rFonts w:ascii="Times New Roman" w:eastAsia="Calibri" w:hAnsi="Times New Roman" w:cs="Times New Roman"/>
          <w:snapToGrid w:val="0"/>
          <w:sz w:val="24"/>
          <w:szCs w:val="24"/>
        </w:rPr>
        <w:t>who are</w:t>
      </w:r>
      <w:r w:rsidR="005F76EB">
        <w:rPr>
          <w:rFonts w:ascii="Times New Roman" w:eastAsia="Calibri" w:hAnsi="Times New Roman" w:cs="Times New Roman"/>
          <w:snapToGrid w:val="0"/>
          <w:sz w:val="24"/>
          <w:szCs w:val="24"/>
        </w:rPr>
        <w:t xml:space="preserve"> Harvard Law School graduates</w:t>
      </w:r>
      <w:r w:rsidR="00B30F84">
        <w:rPr>
          <w:rFonts w:ascii="Times New Roman" w:eastAsia="Calibri" w:hAnsi="Times New Roman" w:cs="Times New Roman"/>
          <w:snapToGrid w:val="0"/>
          <w:sz w:val="24"/>
          <w:szCs w:val="24"/>
        </w:rPr>
        <w:t xml:space="preserve">: </w:t>
      </w:r>
    </w:p>
    <w:p w14:paraId="0BC33F69" w14:textId="77777777" w:rsidR="00B30F84" w:rsidRDefault="00B30F84" w:rsidP="00076BEB">
      <w:pPr>
        <w:spacing w:after="0" w:line="240" w:lineRule="auto"/>
        <w:ind w:left="720" w:right="720"/>
        <w:jc w:val="both"/>
        <w:rPr>
          <w:rFonts w:ascii="Times New Roman" w:eastAsia="Times New Roman" w:hAnsi="Times New Roman" w:cs="Times New Roman"/>
          <w:snapToGrid w:val="0"/>
          <w:sz w:val="24"/>
          <w:szCs w:val="24"/>
        </w:rPr>
      </w:pPr>
    </w:p>
    <w:p w14:paraId="5201F753" w14:textId="048A85F9" w:rsidR="00B30F84" w:rsidRDefault="00076BEB" w:rsidP="00076BEB">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Assemblyman David Buchwald</w:t>
      </w:r>
      <w:r w:rsidR="005F76EB">
        <w:rPr>
          <w:rFonts w:ascii="Times New Roman" w:eastAsia="Times New Roman" w:hAnsi="Times New Roman" w:cs="Times New Roman"/>
          <w:snapToGrid w:val="0"/>
          <w:sz w:val="24"/>
          <w:szCs w:val="24"/>
        </w:rPr>
        <w:t>, Esq.</w:t>
      </w:r>
      <w:r>
        <w:rPr>
          <w:rFonts w:ascii="Times New Roman" w:eastAsia="Times New Roman" w:hAnsi="Times New Roman" w:cs="Times New Roman"/>
          <w:snapToGrid w:val="0"/>
          <w:sz w:val="24"/>
          <w:szCs w:val="24"/>
        </w:rPr>
        <w:t xml:space="preserve"> </w:t>
      </w:r>
      <w:r w:rsidRPr="00BD00E0">
        <w:rPr>
          <w:rFonts w:ascii="Times New Roman" w:eastAsia="Times New Roman" w:hAnsi="Times New Roman" w:cs="Times New Roman"/>
          <w:snapToGrid w:val="0"/>
          <w:sz w:val="24"/>
          <w:szCs w:val="24"/>
        </w:rPr>
        <w:t xml:space="preserve">– </w:t>
      </w:r>
      <w:r w:rsidR="00B30F84">
        <w:rPr>
          <w:rFonts w:ascii="Times New Roman" w:eastAsia="Times New Roman" w:hAnsi="Times New Roman" w:cs="Times New Roman"/>
          <w:snapToGrid w:val="0"/>
          <w:sz w:val="24"/>
          <w:szCs w:val="24"/>
        </w:rPr>
        <w:t xml:space="preserve">a member of </w:t>
      </w:r>
      <w:r w:rsidR="005F76EB">
        <w:rPr>
          <w:rFonts w:ascii="Times New Roman" w:eastAsia="Times New Roman" w:hAnsi="Times New Roman" w:cs="Times New Roman"/>
          <w:snapToGrid w:val="0"/>
          <w:sz w:val="24"/>
          <w:szCs w:val="24"/>
        </w:rPr>
        <w:t>BOTH</w:t>
      </w:r>
      <w:r w:rsidR="00B30F84">
        <w:rPr>
          <w:rFonts w:ascii="Times New Roman" w:eastAsia="Times New Roman" w:hAnsi="Times New Roman" w:cs="Times New Roman"/>
          <w:snapToGrid w:val="0"/>
          <w:sz w:val="24"/>
          <w:szCs w:val="24"/>
        </w:rPr>
        <w:t xml:space="preserve"> the Assembly </w:t>
      </w:r>
      <w:r w:rsidR="005F76EB">
        <w:rPr>
          <w:rFonts w:ascii="Times New Roman" w:eastAsia="Times New Roman" w:hAnsi="Times New Roman" w:cs="Times New Roman"/>
          <w:snapToGrid w:val="0"/>
          <w:sz w:val="24"/>
          <w:szCs w:val="24"/>
        </w:rPr>
        <w:t xml:space="preserve">Committee on Government Operations and the Assembly </w:t>
      </w:r>
      <w:r w:rsidR="00B30F84">
        <w:rPr>
          <w:rFonts w:ascii="Times New Roman" w:eastAsia="Times New Roman" w:hAnsi="Times New Roman" w:cs="Times New Roman"/>
          <w:snapToGrid w:val="0"/>
          <w:sz w:val="24"/>
          <w:szCs w:val="24"/>
        </w:rPr>
        <w:t>Judiciary Committee</w:t>
      </w:r>
      <w:r w:rsidR="005F76EB">
        <w:rPr>
          <w:rFonts w:ascii="Times New Roman" w:eastAsia="Times New Roman" w:hAnsi="Times New Roman" w:cs="Times New Roman"/>
          <w:snapToGrid w:val="0"/>
          <w:sz w:val="24"/>
          <w:szCs w:val="24"/>
        </w:rPr>
        <w:t xml:space="preserve"> – and </w:t>
      </w:r>
      <w:proofErr w:type="spellStart"/>
      <w:r w:rsidR="005F76EB">
        <w:rPr>
          <w:rFonts w:ascii="Times New Roman" w:eastAsia="Times New Roman" w:hAnsi="Times New Roman" w:cs="Times New Roman"/>
          <w:snapToGrid w:val="0"/>
          <w:sz w:val="24"/>
          <w:szCs w:val="24"/>
        </w:rPr>
        <w:t>Sassower’s</w:t>
      </w:r>
      <w:proofErr w:type="spellEnd"/>
      <w:r w:rsidR="005F76EB">
        <w:rPr>
          <w:rFonts w:ascii="Times New Roman" w:eastAsia="Times New Roman" w:hAnsi="Times New Roman" w:cs="Times New Roman"/>
          <w:snapToGrid w:val="0"/>
          <w:sz w:val="24"/>
          <w:szCs w:val="24"/>
        </w:rPr>
        <w:t xml:space="preserve"> own Assembly member;</w:t>
      </w:r>
    </w:p>
    <w:p w14:paraId="539CFBC4" w14:textId="77777777" w:rsidR="00B30F84" w:rsidRDefault="00B30F84" w:rsidP="00076BEB">
      <w:pPr>
        <w:spacing w:after="0" w:line="240" w:lineRule="auto"/>
        <w:ind w:left="720" w:right="720"/>
        <w:jc w:val="both"/>
        <w:rPr>
          <w:rFonts w:ascii="Times New Roman" w:eastAsia="Times New Roman" w:hAnsi="Times New Roman" w:cs="Times New Roman"/>
          <w:snapToGrid w:val="0"/>
          <w:sz w:val="24"/>
          <w:szCs w:val="24"/>
        </w:rPr>
      </w:pPr>
    </w:p>
    <w:p w14:paraId="1FFF4FF6" w14:textId="72696F98" w:rsidR="005F76EB" w:rsidRPr="007F477D" w:rsidRDefault="00B30F84" w:rsidP="00076BEB">
      <w:pPr>
        <w:spacing w:after="0" w:line="240" w:lineRule="auto"/>
        <w:ind w:left="720" w:right="720"/>
        <w:jc w:val="both"/>
        <w:rPr>
          <w:rFonts w:ascii="Times New Roman" w:eastAsia="Times New Roman" w:hAnsi="Times New Roman" w:cs="Times New Roman"/>
          <w:bCs/>
          <w:snapToGrid w:val="0"/>
          <w:sz w:val="24"/>
          <w:szCs w:val="24"/>
        </w:rPr>
      </w:pPr>
      <w:r w:rsidRPr="007F477D">
        <w:rPr>
          <w:rFonts w:ascii="Times New Roman" w:eastAsia="Times New Roman" w:hAnsi="Times New Roman" w:cs="Times New Roman"/>
          <w:bCs/>
          <w:snapToGrid w:val="0"/>
          <w:sz w:val="24"/>
          <w:szCs w:val="24"/>
        </w:rPr>
        <w:t xml:space="preserve">Senator Michael </w:t>
      </w:r>
      <w:proofErr w:type="spellStart"/>
      <w:r w:rsidRPr="007F477D">
        <w:rPr>
          <w:rFonts w:ascii="Times New Roman" w:eastAsia="Times New Roman" w:hAnsi="Times New Roman" w:cs="Times New Roman"/>
          <w:bCs/>
          <w:snapToGrid w:val="0"/>
          <w:sz w:val="24"/>
          <w:szCs w:val="24"/>
        </w:rPr>
        <w:t>Gianaris</w:t>
      </w:r>
      <w:proofErr w:type="spellEnd"/>
      <w:r w:rsidRPr="007F477D">
        <w:rPr>
          <w:rFonts w:ascii="Times New Roman" w:eastAsia="Times New Roman" w:hAnsi="Times New Roman" w:cs="Times New Roman"/>
          <w:bCs/>
          <w:snapToGrid w:val="0"/>
          <w:sz w:val="24"/>
          <w:szCs w:val="24"/>
        </w:rPr>
        <w:t xml:space="preserve"> – second-in-command to then Senate Minority Leader Stewart-Cousins</w:t>
      </w:r>
      <w:r w:rsidR="005F76EB" w:rsidRPr="007F477D">
        <w:rPr>
          <w:rFonts w:ascii="Times New Roman" w:eastAsia="Times New Roman" w:hAnsi="Times New Roman" w:cs="Times New Roman"/>
          <w:bCs/>
          <w:snapToGrid w:val="0"/>
          <w:sz w:val="24"/>
          <w:szCs w:val="24"/>
        </w:rPr>
        <w:t xml:space="preserve"> – Sassower’s own Senator;</w:t>
      </w:r>
    </w:p>
    <w:p w14:paraId="67842E0D" w14:textId="77777777" w:rsidR="005F76EB" w:rsidRPr="007F477D" w:rsidRDefault="005F76EB" w:rsidP="00076BEB">
      <w:pPr>
        <w:spacing w:after="0" w:line="240" w:lineRule="auto"/>
        <w:ind w:left="720" w:right="720"/>
        <w:jc w:val="both"/>
        <w:rPr>
          <w:rFonts w:ascii="Times New Roman" w:eastAsia="Times New Roman" w:hAnsi="Times New Roman" w:cs="Times New Roman"/>
          <w:bCs/>
          <w:snapToGrid w:val="0"/>
          <w:sz w:val="24"/>
          <w:szCs w:val="24"/>
        </w:rPr>
      </w:pPr>
    </w:p>
    <w:p w14:paraId="75FE064F" w14:textId="77777777" w:rsidR="005F76EB" w:rsidRPr="007F477D" w:rsidRDefault="005F76EB" w:rsidP="00076BEB">
      <w:pPr>
        <w:spacing w:after="0" w:line="240" w:lineRule="auto"/>
        <w:ind w:left="720" w:right="720"/>
        <w:jc w:val="both"/>
        <w:rPr>
          <w:rFonts w:ascii="Times New Roman" w:eastAsia="Times New Roman" w:hAnsi="Times New Roman" w:cs="Times New Roman"/>
          <w:snapToGrid w:val="0"/>
          <w:sz w:val="24"/>
          <w:szCs w:val="24"/>
        </w:rPr>
      </w:pPr>
      <w:r w:rsidRPr="007F477D">
        <w:rPr>
          <w:rFonts w:ascii="Times New Roman" w:eastAsia="Times New Roman" w:hAnsi="Times New Roman" w:cs="Times New Roman"/>
          <w:bCs/>
          <w:snapToGrid w:val="0"/>
          <w:sz w:val="24"/>
          <w:szCs w:val="24"/>
        </w:rPr>
        <w:lastRenderedPageBreak/>
        <w:t xml:space="preserve">Senator Brad </w:t>
      </w:r>
      <w:proofErr w:type="spellStart"/>
      <w:r w:rsidRPr="007F477D">
        <w:rPr>
          <w:rFonts w:ascii="Times New Roman" w:eastAsia="Times New Roman" w:hAnsi="Times New Roman" w:cs="Times New Roman"/>
          <w:bCs/>
          <w:snapToGrid w:val="0"/>
          <w:sz w:val="24"/>
          <w:szCs w:val="24"/>
        </w:rPr>
        <w:t>Holyman</w:t>
      </w:r>
      <w:proofErr w:type="spellEnd"/>
      <w:r w:rsidRPr="007F477D">
        <w:rPr>
          <w:rFonts w:ascii="Times New Roman" w:eastAsia="Times New Roman" w:hAnsi="Times New Roman" w:cs="Times New Roman"/>
          <w:bCs/>
          <w:snapToGrid w:val="0"/>
          <w:sz w:val="24"/>
          <w:szCs w:val="24"/>
        </w:rPr>
        <w:t xml:space="preserve"> – </w:t>
      </w:r>
      <w:r w:rsidR="00B30F84" w:rsidRPr="007F477D">
        <w:rPr>
          <w:rFonts w:ascii="Times New Roman" w:eastAsia="Times New Roman" w:hAnsi="Times New Roman" w:cs="Times New Roman"/>
          <w:bCs/>
          <w:snapToGrid w:val="0"/>
          <w:sz w:val="24"/>
          <w:szCs w:val="24"/>
        </w:rPr>
        <w:t>the</w:t>
      </w:r>
      <w:r w:rsidRPr="007F477D">
        <w:rPr>
          <w:rFonts w:ascii="Times New Roman" w:eastAsia="Times New Roman" w:hAnsi="Times New Roman" w:cs="Times New Roman"/>
          <w:bCs/>
          <w:snapToGrid w:val="0"/>
          <w:sz w:val="24"/>
          <w:szCs w:val="24"/>
        </w:rPr>
        <w:t>n</w:t>
      </w:r>
      <w:r w:rsidR="00B30F84" w:rsidRPr="007F477D">
        <w:rPr>
          <w:rFonts w:ascii="Times New Roman" w:eastAsia="Times New Roman" w:hAnsi="Times New Roman" w:cs="Times New Roman"/>
          <w:bCs/>
          <w:snapToGrid w:val="0"/>
          <w:sz w:val="24"/>
          <w:szCs w:val="24"/>
        </w:rPr>
        <w:t xml:space="preserve"> ranking member of </w:t>
      </w:r>
      <w:r w:rsidRPr="007F477D">
        <w:rPr>
          <w:rFonts w:ascii="Times New Roman" w:eastAsia="Times New Roman" w:hAnsi="Times New Roman" w:cs="Times New Roman"/>
          <w:bCs/>
          <w:snapToGrid w:val="0"/>
          <w:sz w:val="24"/>
          <w:szCs w:val="24"/>
        </w:rPr>
        <w:t xml:space="preserve">BOTH </w:t>
      </w:r>
      <w:r w:rsidR="00B30F84" w:rsidRPr="007F477D">
        <w:rPr>
          <w:rFonts w:ascii="Times New Roman" w:eastAsia="Times New Roman" w:hAnsi="Times New Roman" w:cs="Times New Roman"/>
          <w:bCs/>
          <w:snapToGrid w:val="0"/>
          <w:sz w:val="24"/>
          <w:szCs w:val="24"/>
        </w:rPr>
        <w:t>the Senate Committee on Investigations and Government Operations AND the Senate Judiciary Committee</w:t>
      </w:r>
      <w:r w:rsidR="00B30F84" w:rsidRPr="007F477D">
        <w:rPr>
          <w:rFonts w:ascii="Times New Roman" w:eastAsia="Times New Roman" w:hAnsi="Times New Roman" w:cs="Times New Roman"/>
          <w:snapToGrid w:val="0"/>
          <w:sz w:val="24"/>
          <w:szCs w:val="24"/>
        </w:rPr>
        <w:t xml:space="preserve"> </w:t>
      </w:r>
    </w:p>
    <w:p w14:paraId="487B8A76" w14:textId="77777777" w:rsidR="005F76EB" w:rsidRDefault="005F76EB" w:rsidP="00076BEB">
      <w:pPr>
        <w:spacing w:after="0" w:line="240" w:lineRule="auto"/>
        <w:ind w:left="720" w:right="720"/>
        <w:jc w:val="both"/>
        <w:rPr>
          <w:rFonts w:ascii="Times New Roman" w:eastAsia="Times New Roman" w:hAnsi="Times New Roman" w:cs="Times New Roman"/>
          <w:snapToGrid w:val="0"/>
          <w:sz w:val="24"/>
          <w:szCs w:val="24"/>
        </w:rPr>
      </w:pPr>
    </w:p>
    <w:p w14:paraId="58F6FBF9" w14:textId="7FED63CF" w:rsidR="005F76EB" w:rsidRDefault="003072E0" w:rsidP="007F477D">
      <w:pPr>
        <w:spacing w:after="0" w:line="240" w:lineRule="auto"/>
        <w:ind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w:t>
      </w:r>
      <w:r w:rsidR="00542632">
        <w:rPr>
          <w:rFonts w:ascii="Times New Roman" w:eastAsia="Times New Roman" w:hAnsi="Times New Roman" w:cs="Times New Roman"/>
          <w:snapToGrid w:val="0"/>
          <w:sz w:val="24"/>
          <w:szCs w:val="24"/>
        </w:rPr>
        <w:t xml:space="preserve">nd </w:t>
      </w:r>
      <w:r w:rsidR="0034136B">
        <w:rPr>
          <w:rFonts w:ascii="Times New Roman" w:eastAsia="Times New Roman" w:hAnsi="Times New Roman" w:cs="Times New Roman"/>
          <w:snapToGrid w:val="0"/>
          <w:sz w:val="24"/>
          <w:szCs w:val="24"/>
        </w:rPr>
        <w:t xml:space="preserve">two </w:t>
      </w:r>
      <w:r w:rsidR="00542632">
        <w:rPr>
          <w:rFonts w:ascii="Times New Roman" w:eastAsia="Times New Roman" w:hAnsi="Times New Roman" w:cs="Times New Roman"/>
          <w:snapToGrid w:val="0"/>
          <w:sz w:val="24"/>
          <w:szCs w:val="24"/>
        </w:rPr>
        <w:t>part-time</w:t>
      </w:r>
      <w:r w:rsidR="005F76EB">
        <w:rPr>
          <w:rFonts w:ascii="Times New Roman" w:eastAsia="Times New Roman" w:hAnsi="Times New Roman" w:cs="Times New Roman"/>
          <w:snapToGrid w:val="0"/>
          <w:sz w:val="24"/>
          <w:szCs w:val="24"/>
        </w:rPr>
        <w:t xml:space="preserve"> legislators:</w:t>
      </w:r>
    </w:p>
    <w:p w14:paraId="657F8201" w14:textId="77777777" w:rsidR="005F76EB" w:rsidRDefault="005F76EB" w:rsidP="00076BEB">
      <w:pPr>
        <w:spacing w:after="0" w:line="240" w:lineRule="auto"/>
        <w:ind w:left="720" w:right="720"/>
        <w:jc w:val="both"/>
        <w:rPr>
          <w:rFonts w:ascii="Times New Roman" w:eastAsia="Times New Roman" w:hAnsi="Times New Roman" w:cs="Times New Roman"/>
          <w:snapToGrid w:val="0"/>
          <w:sz w:val="24"/>
          <w:szCs w:val="24"/>
        </w:rPr>
      </w:pPr>
    </w:p>
    <w:p w14:paraId="0A6C8CB5" w14:textId="2689469D" w:rsidR="005F76EB" w:rsidRDefault="00076BEB" w:rsidP="00076BEB">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Assembly</w:t>
      </w:r>
      <w:r w:rsidRPr="00BD00E0">
        <w:rPr>
          <w:rFonts w:ascii="Times New Roman" w:eastAsia="Times New Roman" w:hAnsi="Times New Roman" w:cs="Times New Roman"/>
          <w:snapToGrid w:val="0"/>
          <w:sz w:val="24"/>
          <w:szCs w:val="24"/>
        </w:rPr>
        <w:t xml:space="preserve">man  Phil </w:t>
      </w:r>
      <w:proofErr w:type="spellStart"/>
      <w:r w:rsidRPr="00BD00E0">
        <w:rPr>
          <w:rFonts w:ascii="Times New Roman" w:eastAsia="Times New Roman" w:hAnsi="Times New Roman" w:cs="Times New Roman"/>
          <w:snapToGrid w:val="0"/>
          <w:sz w:val="24"/>
          <w:szCs w:val="24"/>
        </w:rPr>
        <w:t>Steck</w:t>
      </w:r>
      <w:proofErr w:type="spellEnd"/>
      <w:r w:rsidR="001374BC">
        <w:rPr>
          <w:rFonts w:ascii="Times New Roman" w:eastAsia="Times New Roman" w:hAnsi="Times New Roman" w:cs="Times New Roman"/>
          <w:snapToGrid w:val="0"/>
          <w:sz w:val="24"/>
          <w:szCs w:val="24"/>
        </w:rPr>
        <w:t>, Esq.</w:t>
      </w:r>
      <w:r w:rsidRPr="00BD00E0">
        <w:rPr>
          <w:rFonts w:ascii="Times New Roman" w:eastAsia="Times New Roman" w:hAnsi="Times New Roman" w:cs="Times New Roman"/>
          <w:snapToGrid w:val="0"/>
          <w:sz w:val="24"/>
          <w:szCs w:val="24"/>
        </w:rPr>
        <w:t xml:space="preserve"> – a </w:t>
      </w:r>
      <w:r w:rsidR="005F76EB">
        <w:rPr>
          <w:rFonts w:ascii="Times New Roman" w:eastAsia="Times New Roman" w:hAnsi="Times New Roman" w:cs="Times New Roman"/>
          <w:snapToGrid w:val="0"/>
          <w:sz w:val="24"/>
          <w:szCs w:val="24"/>
        </w:rPr>
        <w:t>member of the Assembly Committee on Government Operations, w</w:t>
      </w:r>
      <w:r w:rsidR="001374BC">
        <w:rPr>
          <w:rFonts w:ascii="Times New Roman" w:eastAsia="Times New Roman" w:hAnsi="Times New Roman" w:cs="Times New Roman"/>
          <w:snapToGrid w:val="0"/>
          <w:sz w:val="24"/>
          <w:szCs w:val="24"/>
        </w:rPr>
        <w:t xml:space="preserve">ith  </w:t>
      </w:r>
      <w:r w:rsidR="00B73B3A">
        <w:rPr>
          <w:rFonts w:ascii="Times New Roman" w:eastAsia="Times New Roman" w:hAnsi="Times New Roman" w:cs="Times New Roman"/>
          <w:snapToGrid w:val="0"/>
          <w:sz w:val="24"/>
          <w:szCs w:val="24"/>
        </w:rPr>
        <w:t xml:space="preserve">a </w:t>
      </w:r>
      <w:r w:rsidR="001374BC">
        <w:rPr>
          <w:rFonts w:ascii="Times New Roman" w:eastAsia="Times New Roman" w:hAnsi="Times New Roman" w:cs="Times New Roman"/>
          <w:snapToGrid w:val="0"/>
          <w:sz w:val="24"/>
          <w:szCs w:val="24"/>
        </w:rPr>
        <w:t>law practice</w:t>
      </w:r>
      <w:r w:rsidR="00B73B3A">
        <w:rPr>
          <w:rFonts w:ascii="Times New Roman" w:eastAsia="Times New Roman" w:hAnsi="Times New Roman" w:cs="Times New Roman"/>
          <w:snapToGrid w:val="0"/>
          <w:sz w:val="24"/>
          <w:szCs w:val="24"/>
        </w:rPr>
        <w:t xml:space="preserve">; </w:t>
      </w:r>
    </w:p>
    <w:p w14:paraId="2B1E7D75" w14:textId="77777777" w:rsidR="005F76EB" w:rsidRDefault="005F76EB" w:rsidP="00076BEB">
      <w:pPr>
        <w:spacing w:after="0" w:line="240" w:lineRule="auto"/>
        <w:ind w:left="720" w:right="720"/>
        <w:jc w:val="both"/>
        <w:rPr>
          <w:rFonts w:ascii="Times New Roman" w:eastAsia="Times New Roman" w:hAnsi="Times New Roman" w:cs="Times New Roman"/>
          <w:snapToGrid w:val="0"/>
          <w:sz w:val="24"/>
          <w:szCs w:val="24"/>
        </w:rPr>
      </w:pPr>
    </w:p>
    <w:p w14:paraId="50868C8B" w14:textId="51AB8FD9" w:rsidR="007F477D" w:rsidRDefault="007F477D" w:rsidP="007F477D">
      <w:pPr>
        <w:spacing w:after="0" w:line="240" w:lineRule="auto"/>
        <w:ind w:left="720" w:right="72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Assemblyman </w:t>
      </w:r>
      <w:r w:rsidR="00BD00E0" w:rsidRPr="00BD00E0">
        <w:rPr>
          <w:rFonts w:ascii="Times New Roman" w:eastAsia="Times New Roman" w:hAnsi="Times New Roman" w:cs="Times New Roman"/>
          <w:snapToGrid w:val="0"/>
          <w:sz w:val="24"/>
          <w:szCs w:val="24"/>
        </w:rPr>
        <w:t>David Pietro – a legislator who own</w:t>
      </w:r>
      <w:r w:rsidR="001374BC">
        <w:rPr>
          <w:rFonts w:ascii="Times New Roman" w:eastAsia="Times New Roman" w:hAnsi="Times New Roman" w:cs="Times New Roman"/>
          <w:snapToGrid w:val="0"/>
          <w:sz w:val="24"/>
          <w:szCs w:val="24"/>
        </w:rPr>
        <w:t>s</w:t>
      </w:r>
      <w:r w:rsidR="00BD00E0" w:rsidRPr="00BD00E0">
        <w:rPr>
          <w:rFonts w:ascii="Times New Roman" w:eastAsia="Times New Roman" w:hAnsi="Times New Roman" w:cs="Times New Roman"/>
          <w:snapToGrid w:val="0"/>
          <w:sz w:val="24"/>
          <w:szCs w:val="24"/>
        </w:rPr>
        <w:t xml:space="preserve"> three dry-cleaning stores</w:t>
      </w:r>
      <w:r>
        <w:rPr>
          <w:rFonts w:ascii="Times New Roman" w:eastAsia="Times New Roman" w:hAnsi="Times New Roman" w:cs="Times New Roman"/>
          <w:snapToGrid w:val="0"/>
          <w:sz w:val="24"/>
          <w:szCs w:val="24"/>
        </w:rPr>
        <w:t>.</w:t>
      </w:r>
    </w:p>
    <w:p w14:paraId="7C575DC7" w14:textId="77777777" w:rsidR="007F477D" w:rsidRDefault="007F477D" w:rsidP="007F477D">
      <w:pPr>
        <w:spacing w:after="0" w:line="240" w:lineRule="auto"/>
        <w:ind w:left="720" w:right="720"/>
        <w:jc w:val="both"/>
        <w:rPr>
          <w:rFonts w:ascii="Times New Roman" w:eastAsia="Times New Roman" w:hAnsi="Times New Roman" w:cs="Times New Roman"/>
          <w:snapToGrid w:val="0"/>
          <w:sz w:val="24"/>
          <w:szCs w:val="24"/>
        </w:rPr>
      </w:pPr>
    </w:p>
    <w:p w14:paraId="1C2F485B" w14:textId="554355BD" w:rsidR="00542632" w:rsidRDefault="00542632" w:rsidP="00B759E7">
      <w:pPr>
        <w:spacing w:after="0" w:line="240" w:lineRule="auto"/>
        <w:jc w:val="both"/>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There was absolutely no difference between these fi</w:t>
      </w:r>
      <w:r w:rsidR="0034136B">
        <w:rPr>
          <w:rFonts w:ascii="Times New Roman" w:eastAsia="Calibri" w:hAnsi="Times New Roman" w:cs="Times New Roman"/>
          <w:snapToGrid w:val="0"/>
          <w:sz w:val="24"/>
          <w:szCs w:val="24"/>
        </w:rPr>
        <w:t>v</w:t>
      </w:r>
      <w:r>
        <w:rPr>
          <w:rFonts w:ascii="Times New Roman" w:eastAsia="Calibri" w:hAnsi="Times New Roman" w:cs="Times New Roman"/>
          <w:snapToGrid w:val="0"/>
          <w:sz w:val="24"/>
          <w:szCs w:val="24"/>
        </w:rPr>
        <w:t>e legislators</w:t>
      </w:r>
      <w:r w:rsidR="00B73B3A">
        <w:rPr>
          <w:rFonts w:ascii="Times New Roman" w:eastAsia="Calibri" w:hAnsi="Times New Roman" w:cs="Times New Roman"/>
          <w:snapToGrid w:val="0"/>
          <w:sz w:val="24"/>
          <w:szCs w:val="24"/>
        </w:rPr>
        <w:t>.  None would c</w:t>
      </w:r>
      <w:r w:rsidR="0034136B">
        <w:rPr>
          <w:rFonts w:ascii="Times New Roman" w:eastAsia="Calibri" w:hAnsi="Times New Roman" w:cs="Times New Roman"/>
          <w:snapToGrid w:val="0"/>
          <w:sz w:val="24"/>
          <w:szCs w:val="24"/>
        </w:rPr>
        <w:t xml:space="preserve">onfront the record of </w:t>
      </w:r>
      <w:r>
        <w:rPr>
          <w:rFonts w:ascii="Times New Roman" w:eastAsia="Calibri" w:hAnsi="Times New Roman" w:cs="Times New Roman"/>
          <w:snapToGrid w:val="0"/>
          <w:sz w:val="24"/>
          <w:szCs w:val="24"/>
        </w:rPr>
        <w:t xml:space="preserve">the </w:t>
      </w:r>
      <w:r w:rsidR="00B73B3A">
        <w:rPr>
          <w:rFonts w:ascii="Times New Roman" w:eastAsia="Calibri" w:hAnsi="Times New Roman" w:cs="Times New Roman"/>
          <w:snapToGrid w:val="0"/>
          <w:sz w:val="24"/>
          <w:szCs w:val="24"/>
        </w:rPr>
        <w:t xml:space="preserve">second </w:t>
      </w:r>
      <w:r>
        <w:rPr>
          <w:rFonts w:ascii="Times New Roman" w:eastAsia="Calibri" w:hAnsi="Times New Roman" w:cs="Times New Roman"/>
          <w:snapToGrid w:val="0"/>
          <w:sz w:val="24"/>
          <w:szCs w:val="24"/>
        </w:rPr>
        <w:t>citizen-taxpayer action</w:t>
      </w:r>
      <w:r w:rsidR="007F477D">
        <w:rPr>
          <w:rFonts w:ascii="Times New Roman" w:eastAsia="Calibri" w:hAnsi="Times New Roman" w:cs="Times New Roman"/>
          <w:snapToGrid w:val="0"/>
          <w:sz w:val="24"/>
          <w:szCs w:val="24"/>
        </w:rPr>
        <w:t xml:space="preserve"> – just as </w:t>
      </w:r>
      <w:r>
        <w:rPr>
          <w:rFonts w:ascii="Times New Roman" w:eastAsia="Calibri" w:hAnsi="Times New Roman" w:cs="Times New Roman"/>
          <w:snapToGrid w:val="0"/>
          <w:sz w:val="24"/>
          <w:szCs w:val="24"/>
        </w:rPr>
        <w:t xml:space="preserve">no other legislator had been willing to </w:t>
      </w:r>
      <w:r w:rsidR="00B73B3A">
        <w:rPr>
          <w:rFonts w:ascii="Times New Roman" w:eastAsia="Calibri" w:hAnsi="Times New Roman" w:cs="Times New Roman"/>
          <w:snapToGrid w:val="0"/>
          <w:sz w:val="24"/>
          <w:szCs w:val="24"/>
        </w:rPr>
        <w:t>confront it – all bl</w:t>
      </w:r>
      <w:r w:rsidR="007F477D">
        <w:rPr>
          <w:rFonts w:ascii="Times New Roman" w:eastAsia="Calibri" w:hAnsi="Times New Roman" w:cs="Times New Roman"/>
          <w:snapToGrid w:val="0"/>
          <w:sz w:val="24"/>
          <w:szCs w:val="24"/>
        </w:rPr>
        <w:t>ithely continuing and facilitating the constitutional, statutory, and rule violations the second citizen-taxpayer action established</w:t>
      </w:r>
      <w:r>
        <w:rPr>
          <w:rFonts w:ascii="Times New Roman" w:eastAsia="Calibri" w:hAnsi="Times New Roman" w:cs="Times New Roman"/>
          <w:snapToGrid w:val="0"/>
          <w:sz w:val="24"/>
          <w:szCs w:val="24"/>
        </w:rPr>
        <w:t>.</w:t>
      </w:r>
    </w:p>
    <w:p w14:paraId="1E78F70A" w14:textId="77777777" w:rsidR="00542632" w:rsidRDefault="00542632" w:rsidP="00B759E7">
      <w:pPr>
        <w:spacing w:after="0" w:line="240" w:lineRule="auto"/>
        <w:jc w:val="both"/>
        <w:rPr>
          <w:rFonts w:ascii="Times New Roman" w:eastAsia="Calibri" w:hAnsi="Times New Roman" w:cs="Times New Roman"/>
          <w:snapToGrid w:val="0"/>
          <w:sz w:val="24"/>
          <w:szCs w:val="24"/>
        </w:rPr>
      </w:pPr>
    </w:p>
    <w:p w14:paraId="614E5BFE" w14:textId="464F9E72" w:rsidR="0010598C" w:rsidRDefault="008B077F" w:rsidP="00B759E7">
      <w:pPr>
        <w:spacing w:after="0" w:line="240" w:lineRule="auto"/>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 xml:space="preserve">Suffice to note that this paragraph </w:t>
      </w:r>
      <w:r w:rsidR="0034136B">
        <w:rPr>
          <w:rFonts w:ascii="Times New Roman" w:eastAsia="Calibri" w:hAnsi="Times New Roman" w:cs="Times New Roman"/>
          <w:snapToGrid w:val="0"/>
          <w:sz w:val="24"/>
          <w:szCs w:val="24"/>
        </w:rPr>
        <w:t xml:space="preserve">discusses only the “performance” of the Legislature.  </w:t>
      </w:r>
      <w:r w:rsidRPr="008B077F">
        <w:rPr>
          <w:rFonts w:ascii="Times New Roman" w:eastAsia="Calibri" w:hAnsi="Times New Roman" w:cs="Times New Roman"/>
          <w:snapToGrid w:val="0"/>
          <w:sz w:val="24"/>
          <w:szCs w:val="24"/>
        </w:rPr>
        <w:t xml:space="preserve">  There is NO subsequent paragraph assessing the “performance” of the </w:t>
      </w:r>
      <w:r w:rsidR="003072E0">
        <w:rPr>
          <w:rFonts w:ascii="Times New Roman" w:eastAsia="Calibri" w:hAnsi="Times New Roman" w:cs="Times New Roman"/>
          <w:snapToGrid w:val="0"/>
          <w:sz w:val="24"/>
          <w:szCs w:val="24"/>
        </w:rPr>
        <w:t>G</w:t>
      </w:r>
      <w:r w:rsidRPr="008B077F">
        <w:rPr>
          <w:rFonts w:ascii="Times New Roman" w:eastAsia="Calibri" w:hAnsi="Times New Roman" w:cs="Times New Roman"/>
          <w:snapToGrid w:val="0"/>
          <w:sz w:val="24"/>
          <w:szCs w:val="24"/>
        </w:rPr>
        <w:t xml:space="preserve">overnor, </w:t>
      </w:r>
      <w:r w:rsidR="003072E0">
        <w:rPr>
          <w:rFonts w:ascii="Times New Roman" w:eastAsia="Calibri" w:hAnsi="Times New Roman" w:cs="Times New Roman"/>
          <w:snapToGrid w:val="0"/>
          <w:sz w:val="24"/>
          <w:szCs w:val="24"/>
        </w:rPr>
        <w:t>C</w:t>
      </w:r>
      <w:r w:rsidRPr="008B077F">
        <w:rPr>
          <w:rFonts w:ascii="Times New Roman" w:eastAsia="Calibri" w:hAnsi="Times New Roman" w:cs="Times New Roman"/>
          <w:snapToGrid w:val="0"/>
          <w:sz w:val="24"/>
          <w:szCs w:val="24"/>
        </w:rPr>
        <w:t xml:space="preserve">omptroller, and </w:t>
      </w:r>
      <w:r w:rsidR="003072E0">
        <w:rPr>
          <w:rFonts w:ascii="Times New Roman" w:eastAsia="Calibri" w:hAnsi="Times New Roman" w:cs="Times New Roman"/>
          <w:snapToGrid w:val="0"/>
          <w:sz w:val="24"/>
          <w:szCs w:val="24"/>
        </w:rPr>
        <w:t>A</w:t>
      </w:r>
      <w:r w:rsidRPr="008B077F">
        <w:rPr>
          <w:rFonts w:ascii="Times New Roman" w:eastAsia="Calibri" w:hAnsi="Times New Roman" w:cs="Times New Roman"/>
          <w:snapToGrid w:val="0"/>
          <w:sz w:val="24"/>
          <w:szCs w:val="24"/>
        </w:rPr>
        <w:t xml:space="preserve">ttorney </w:t>
      </w:r>
      <w:r w:rsidR="003072E0">
        <w:rPr>
          <w:rFonts w:ascii="Times New Roman" w:eastAsia="Calibri" w:hAnsi="Times New Roman" w:cs="Times New Roman"/>
          <w:snapToGrid w:val="0"/>
          <w:sz w:val="24"/>
          <w:szCs w:val="24"/>
        </w:rPr>
        <w:t>G</w:t>
      </w:r>
      <w:r w:rsidRPr="008B077F">
        <w:rPr>
          <w:rFonts w:ascii="Times New Roman" w:eastAsia="Calibri" w:hAnsi="Times New Roman" w:cs="Times New Roman"/>
          <w:snapToGrid w:val="0"/>
          <w:sz w:val="24"/>
          <w:szCs w:val="24"/>
        </w:rPr>
        <w:t>eneral in fulfilling “their statutory and Constitutional responsibilities”, nor con</w:t>
      </w:r>
      <w:r w:rsidR="0010598C">
        <w:rPr>
          <w:rFonts w:ascii="Times New Roman" w:eastAsia="Calibri" w:hAnsi="Times New Roman" w:cs="Times New Roman"/>
          <w:snapToGrid w:val="0"/>
          <w:sz w:val="24"/>
          <w:szCs w:val="24"/>
        </w:rPr>
        <w:t>cocting</w:t>
      </w:r>
      <w:r w:rsidRPr="008B077F">
        <w:rPr>
          <w:rFonts w:ascii="Times New Roman" w:eastAsia="Calibri" w:hAnsi="Times New Roman" w:cs="Times New Roman"/>
          <w:snapToGrid w:val="0"/>
          <w:sz w:val="24"/>
          <w:szCs w:val="24"/>
        </w:rPr>
        <w:t xml:space="preserve"> </w:t>
      </w:r>
      <w:r w:rsidR="00B73B3A">
        <w:rPr>
          <w:rFonts w:ascii="Times New Roman" w:eastAsia="Calibri" w:hAnsi="Times New Roman" w:cs="Times New Roman"/>
          <w:snapToGrid w:val="0"/>
          <w:sz w:val="24"/>
          <w:szCs w:val="24"/>
        </w:rPr>
        <w:t xml:space="preserve">any “outside earned income” </w:t>
      </w:r>
      <w:r w:rsidRPr="008B077F">
        <w:rPr>
          <w:rFonts w:ascii="Times New Roman" w:eastAsia="Calibri" w:hAnsi="Times New Roman" w:cs="Times New Roman"/>
          <w:snapToGrid w:val="0"/>
          <w:sz w:val="24"/>
          <w:szCs w:val="24"/>
        </w:rPr>
        <w:t xml:space="preserve">excuse for </w:t>
      </w:r>
      <w:r w:rsidR="00B73B3A">
        <w:rPr>
          <w:rFonts w:ascii="Times New Roman" w:eastAsia="Calibri" w:hAnsi="Times New Roman" w:cs="Times New Roman"/>
          <w:snapToGrid w:val="0"/>
          <w:sz w:val="24"/>
          <w:szCs w:val="24"/>
        </w:rPr>
        <w:t xml:space="preserve">their </w:t>
      </w:r>
      <w:r w:rsidRPr="008B077F">
        <w:rPr>
          <w:rFonts w:ascii="Times New Roman" w:eastAsia="Calibri" w:hAnsi="Times New Roman" w:cs="Times New Roman"/>
          <w:snapToGrid w:val="0"/>
          <w:sz w:val="24"/>
          <w:szCs w:val="24"/>
        </w:rPr>
        <w:t>not doing so.  Here</w:t>
      </w:r>
      <w:r w:rsidR="003072E0">
        <w:rPr>
          <w:rFonts w:ascii="Times New Roman" w:eastAsia="Calibri" w:hAnsi="Times New Roman" w:cs="Times New Roman"/>
          <w:snapToGrid w:val="0"/>
          <w:sz w:val="24"/>
          <w:szCs w:val="24"/>
        </w:rPr>
        <w:t>,</w:t>
      </w:r>
      <w:r w:rsidRPr="008B077F">
        <w:rPr>
          <w:rFonts w:ascii="Times New Roman" w:eastAsia="Calibri" w:hAnsi="Times New Roman" w:cs="Times New Roman"/>
          <w:snapToGrid w:val="0"/>
          <w:sz w:val="24"/>
          <w:szCs w:val="24"/>
        </w:rPr>
        <w:t xml:space="preserve"> too, CJA’s second citizen-taxpayer action – to which these statewide </w:t>
      </w:r>
      <w:r w:rsidR="003072E0">
        <w:rPr>
          <w:rFonts w:ascii="Times New Roman" w:eastAsia="Calibri" w:hAnsi="Times New Roman" w:cs="Times New Roman"/>
          <w:snapToGrid w:val="0"/>
          <w:sz w:val="24"/>
          <w:szCs w:val="24"/>
        </w:rPr>
        <w:t>elected are</w:t>
      </w:r>
      <w:r w:rsidRPr="008B077F">
        <w:rPr>
          <w:rFonts w:ascii="Times New Roman" w:eastAsia="Calibri" w:hAnsi="Times New Roman" w:cs="Times New Roman"/>
          <w:snapToGrid w:val="0"/>
          <w:sz w:val="24"/>
          <w:szCs w:val="24"/>
        </w:rPr>
        <w:t xml:space="preserve"> all defendants – establishes their wholesale violation of “statutory and Constitutional responsibilities” with respect to the budget and the</w:t>
      </w:r>
      <w:r w:rsidR="0010598C">
        <w:rPr>
          <w:rFonts w:ascii="Times New Roman" w:eastAsia="Calibri" w:hAnsi="Times New Roman" w:cs="Times New Roman"/>
          <w:snapToGrid w:val="0"/>
          <w:sz w:val="24"/>
          <w:szCs w:val="24"/>
        </w:rPr>
        <w:t xml:space="preserve"> other duties of their offices.</w:t>
      </w:r>
    </w:p>
    <w:p w14:paraId="222E61F5" w14:textId="77777777" w:rsidR="00B759E7" w:rsidRPr="008B077F" w:rsidRDefault="00B759E7" w:rsidP="00B759E7">
      <w:pPr>
        <w:spacing w:after="0" w:line="240" w:lineRule="auto"/>
        <w:jc w:val="both"/>
        <w:rPr>
          <w:rFonts w:ascii="Times New Roman" w:eastAsia="Calibri" w:hAnsi="Times New Roman" w:cs="Times New Roman"/>
          <w:snapToGrid w:val="0"/>
          <w:sz w:val="24"/>
          <w:szCs w:val="24"/>
        </w:rPr>
      </w:pPr>
    </w:p>
    <w:p w14:paraId="28C2B643" w14:textId="458C5C58" w:rsidR="008B077F" w:rsidRPr="0067358E" w:rsidRDefault="008B077F" w:rsidP="008B077F">
      <w:pPr>
        <w:spacing w:after="0" w:line="480" w:lineRule="auto"/>
        <w:jc w:val="both"/>
        <w:rPr>
          <w:rFonts w:ascii="Times New Roman" w:eastAsia="Calibri" w:hAnsi="Times New Roman" w:cs="Times New Roman"/>
          <w:snapToGrid w:val="0"/>
          <w:sz w:val="24"/>
          <w:szCs w:val="24"/>
        </w:rPr>
      </w:pPr>
      <w:r w:rsidRPr="008B077F">
        <w:rPr>
          <w:rFonts w:ascii="Times New Roman" w:eastAsia="Calibri" w:hAnsi="Times New Roman" w:cs="Times New Roman"/>
          <w:b/>
          <w:snapToGrid w:val="0"/>
          <w:sz w:val="24"/>
          <w:szCs w:val="24"/>
          <w:u w:val="single"/>
        </w:rPr>
        <w:t>Paragraph #4</w:t>
      </w:r>
      <w:r w:rsidRPr="0067358E">
        <w:rPr>
          <w:rFonts w:ascii="Times New Roman" w:eastAsia="Calibri" w:hAnsi="Times New Roman" w:cs="Times New Roman"/>
          <w:snapToGrid w:val="0"/>
          <w:sz w:val="24"/>
          <w:szCs w:val="24"/>
        </w:rPr>
        <w:t>:</w:t>
      </w:r>
    </w:p>
    <w:p w14:paraId="50D6FC09" w14:textId="77777777" w:rsidR="008B077F" w:rsidRPr="008B077F" w:rsidRDefault="008B077F" w:rsidP="005A5F62">
      <w:pPr>
        <w:spacing w:after="0" w:line="240" w:lineRule="auto"/>
        <w:ind w:left="1152" w:right="1152"/>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“Thus, the increase in salary that we are recommending for effectiveness on January 1, 2019 should be paid to every Legislator, whether or not they were elected or held the position the prior year as there was on-time budget passage.  Going forward, with our further recommendation for an increase effective January 1, 2020, and January 1, 2021, it is the determination and finding of this Committee that the on-time budget passage by April 1, in each prior year, together with compliance with the recommendations of this Committee, shall entitle the Legislature to the recommended increases.”</w:t>
      </w:r>
    </w:p>
    <w:p w14:paraId="628FBAFC" w14:textId="77777777" w:rsidR="008B077F" w:rsidRPr="008B077F" w:rsidRDefault="008B077F" w:rsidP="008B077F">
      <w:pPr>
        <w:spacing w:after="0" w:line="240" w:lineRule="auto"/>
        <w:ind w:left="1080" w:right="720"/>
        <w:jc w:val="both"/>
        <w:rPr>
          <w:rFonts w:ascii="Times New Roman" w:eastAsia="Calibri" w:hAnsi="Times New Roman" w:cs="Times New Roman"/>
          <w:snapToGrid w:val="0"/>
          <w:sz w:val="24"/>
          <w:szCs w:val="24"/>
        </w:rPr>
      </w:pPr>
    </w:p>
    <w:p w14:paraId="0DCD0036" w14:textId="3649A144" w:rsidR="0010598C" w:rsidRDefault="008B077F" w:rsidP="005A5F62">
      <w:pPr>
        <w:spacing w:after="0" w:line="240" w:lineRule="auto"/>
        <w:jc w:val="both"/>
        <w:rPr>
          <w:rFonts w:ascii="Times New Roman" w:eastAsia="Calibri" w:hAnsi="Times New Roman" w:cs="Times New Roman"/>
          <w:snapToGrid w:val="0"/>
          <w:sz w:val="24"/>
          <w:szCs w:val="24"/>
        </w:rPr>
      </w:pPr>
      <w:r w:rsidRPr="008B077F">
        <w:rPr>
          <w:rFonts w:ascii="Times New Roman" w:eastAsia="Calibri" w:hAnsi="Times New Roman" w:cs="Times New Roman"/>
          <w:snapToGrid w:val="0"/>
          <w:sz w:val="24"/>
          <w:szCs w:val="24"/>
        </w:rPr>
        <w:t xml:space="preserve">This paragraph builds on the frauds of the predecessor three.  The Committee here removes any “performance” component from the first phase of legislative increase, which it recommends for January 1, 2019 – justifying same by </w:t>
      </w:r>
      <w:r w:rsidR="0010598C">
        <w:rPr>
          <w:rFonts w:ascii="Times New Roman" w:eastAsia="Calibri" w:hAnsi="Times New Roman" w:cs="Times New Roman"/>
          <w:snapToGrid w:val="0"/>
          <w:sz w:val="24"/>
          <w:szCs w:val="24"/>
        </w:rPr>
        <w:t xml:space="preserve">its fraud </w:t>
      </w:r>
      <w:r w:rsidR="003072E0">
        <w:rPr>
          <w:rFonts w:ascii="Times New Roman" w:eastAsia="Calibri" w:hAnsi="Times New Roman" w:cs="Times New Roman"/>
          <w:snapToGrid w:val="0"/>
          <w:sz w:val="24"/>
          <w:szCs w:val="24"/>
        </w:rPr>
        <w:t>as to the L</w:t>
      </w:r>
      <w:r w:rsidRPr="008B077F">
        <w:rPr>
          <w:rFonts w:ascii="Times New Roman" w:eastAsia="Calibri" w:hAnsi="Times New Roman" w:cs="Times New Roman"/>
          <w:snapToGrid w:val="0"/>
          <w:sz w:val="24"/>
          <w:szCs w:val="24"/>
        </w:rPr>
        <w:t>egislature’s supposed “on-time budget” in 2018</w:t>
      </w:r>
      <w:r w:rsidR="0010598C">
        <w:rPr>
          <w:rFonts w:ascii="Times New Roman" w:eastAsia="Calibri" w:hAnsi="Times New Roman" w:cs="Times New Roman"/>
          <w:snapToGrid w:val="0"/>
          <w:sz w:val="24"/>
          <w:szCs w:val="24"/>
        </w:rPr>
        <w:t>.</w:t>
      </w:r>
    </w:p>
    <w:p w14:paraId="3F3A297C" w14:textId="1AC1281E" w:rsidR="008B077F" w:rsidRDefault="005A5F62" w:rsidP="005A5F6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u w:val="single"/>
        </w:rPr>
        <w:br/>
      </w:r>
      <w:r w:rsidR="008B077F" w:rsidRPr="008B077F">
        <w:rPr>
          <w:rFonts w:ascii="Times New Roman" w:eastAsia="Calibri" w:hAnsi="Times New Roman" w:cs="Times New Roman"/>
          <w:b/>
          <w:sz w:val="24"/>
          <w:szCs w:val="24"/>
          <w:u w:val="single"/>
        </w:rPr>
        <w:t>Paragraph #5</w:t>
      </w:r>
      <w:r w:rsidR="008B077F" w:rsidRPr="0067358E">
        <w:rPr>
          <w:rFonts w:ascii="Times New Roman" w:eastAsia="Calibri" w:hAnsi="Times New Roman" w:cs="Times New Roman"/>
          <w:sz w:val="24"/>
          <w:szCs w:val="24"/>
        </w:rPr>
        <w:t>:</w:t>
      </w:r>
    </w:p>
    <w:p w14:paraId="08FC29D8" w14:textId="77777777" w:rsidR="005A5F62" w:rsidRPr="008B077F" w:rsidRDefault="005A5F62" w:rsidP="005A5F62">
      <w:pPr>
        <w:spacing w:after="0" w:line="240" w:lineRule="auto"/>
        <w:jc w:val="both"/>
        <w:rPr>
          <w:rFonts w:ascii="Times New Roman" w:eastAsia="Calibri" w:hAnsi="Times New Roman" w:cs="Times New Roman"/>
          <w:b/>
          <w:sz w:val="24"/>
          <w:szCs w:val="24"/>
        </w:rPr>
      </w:pPr>
    </w:p>
    <w:p w14:paraId="27CDD180" w14:textId="77777777" w:rsidR="005A5F62" w:rsidRDefault="008B077F" w:rsidP="005A5F62">
      <w:pPr>
        <w:spacing w:after="0" w:line="240" w:lineRule="auto"/>
        <w:ind w:left="1152" w:right="1152"/>
        <w:jc w:val="both"/>
        <w:rPr>
          <w:rFonts w:ascii="Times New Roman" w:eastAsia="Times New Roman" w:hAnsi="Times New Roman" w:cs="Times New Roman"/>
          <w:sz w:val="24"/>
          <w:szCs w:val="24"/>
        </w:rPr>
      </w:pPr>
      <w:r w:rsidRPr="008B077F">
        <w:rPr>
          <w:rFonts w:ascii="Times New Roman" w:eastAsia="Times New Roman" w:hAnsi="Times New Roman" w:cs="Times New Roman"/>
          <w:sz w:val="24"/>
          <w:szCs w:val="24"/>
        </w:rPr>
        <w:t xml:space="preserve">“New York ranks fourth in the country in terms of population and second in the country in terms of its operating budget. The overall gross product produced by New York ranks third in the country with over $1.5 trillion earned annually. The duties and responsibilities of the Commissioners, the </w:t>
      </w:r>
      <w:r w:rsidRPr="008B077F">
        <w:rPr>
          <w:rFonts w:ascii="Times New Roman" w:eastAsia="Times New Roman" w:hAnsi="Times New Roman" w:cs="Times New Roman"/>
          <w:sz w:val="24"/>
          <w:szCs w:val="24"/>
        </w:rPr>
        <w:lastRenderedPageBreak/>
        <w:t>Governor and Statewide elected officials and Legislature are amongst the most complex in the world. The output of New York State and the needs of its population dwarf those of many countries worldwide.”</w:t>
      </w:r>
    </w:p>
    <w:p w14:paraId="355657EF" w14:textId="1DEAD63F" w:rsidR="008B077F" w:rsidRPr="008B077F" w:rsidRDefault="008B077F" w:rsidP="005A5F62">
      <w:pPr>
        <w:spacing w:after="0" w:line="240" w:lineRule="auto"/>
        <w:ind w:left="1152" w:right="1152"/>
        <w:jc w:val="both"/>
        <w:rPr>
          <w:rFonts w:ascii="Times New Roman" w:eastAsia="Calibri" w:hAnsi="Times New Roman" w:cs="Times New Roman"/>
          <w:sz w:val="24"/>
          <w:szCs w:val="24"/>
        </w:rPr>
      </w:pPr>
    </w:p>
    <w:p w14:paraId="4C783627" w14:textId="795AE60C" w:rsidR="008B077F" w:rsidRDefault="008B077F" w:rsidP="005A5F62">
      <w:pPr>
        <w:spacing w:after="0" w:line="240" w:lineRule="auto"/>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This paragraph implies that New York’s statewide and legislative </w:t>
      </w:r>
      <w:proofErr w:type="spellStart"/>
      <w:r w:rsidRPr="008B077F">
        <w:rPr>
          <w:rFonts w:ascii="Times New Roman" w:eastAsia="Calibri" w:hAnsi="Times New Roman" w:cs="Times New Roman"/>
          <w:sz w:val="24"/>
          <w:szCs w:val="24"/>
        </w:rPr>
        <w:t>electeds</w:t>
      </w:r>
      <w:proofErr w:type="spellEnd"/>
      <w:r w:rsidRPr="008B077F">
        <w:rPr>
          <w:rFonts w:ascii="Times New Roman" w:eastAsia="Calibri" w:hAnsi="Times New Roman" w:cs="Times New Roman"/>
          <w:sz w:val="24"/>
          <w:szCs w:val="24"/>
        </w:rPr>
        <w:t xml:space="preserve"> are deserving of salary increases because of the enormous “duties and responsibilities” that are theirs by virtue of the size and complexity of New York State government.  It does not say that they are discharging their “duties and responsibilities” – and the evidence </w:t>
      </w:r>
      <w:r w:rsidR="0010598C">
        <w:rPr>
          <w:rFonts w:ascii="Times New Roman" w:eastAsia="Calibri" w:hAnsi="Times New Roman" w:cs="Times New Roman"/>
          <w:sz w:val="24"/>
          <w:szCs w:val="24"/>
        </w:rPr>
        <w:t xml:space="preserve">handed up </w:t>
      </w:r>
      <w:r w:rsidR="003072E0">
        <w:rPr>
          <w:rFonts w:ascii="Times New Roman" w:eastAsia="Calibri" w:hAnsi="Times New Roman" w:cs="Times New Roman"/>
          <w:sz w:val="24"/>
          <w:szCs w:val="24"/>
        </w:rPr>
        <w:t>at the November 30, 2018 hearing by CJA director Sassower</w:t>
      </w:r>
      <w:r w:rsidR="0010598C">
        <w:rPr>
          <w:rFonts w:ascii="Times New Roman" w:eastAsia="Calibri" w:hAnsi="Times New Roman" w:cs="Times New Roman"/>
          <w:sz w:val="24"/>
          <w:szCs w:val="24"/>
        </w:rPr>
        <w:t xml:space="preserve"> establishe</w:t>
      </w:r>
      <w:r w:rsidR="00B73B3A">
        <w:rPr>
          <w:rFonts w:ascii="Times New Roman" w:eastAsia="Calibri" w:hAnsi="Times New Roman" w:cs="Times New Roman"/>
          <w:sz w:val="24"/>
          <w:szCs w:val="24"/>
        </w:rPr>
        <w:t>s</w:t>
      </w:r>
      <w:r w:rsidR="00B5471E">
        <w:rPr>
          <w:rFonts w:ascii="Times New Roman" w:eastAsia="Calibri" w:hAnsi="Times New Roman" w:cs="Times New Roman"/>
          <w:sz w:val="24"/>
          <w:szCs w:val="24"/>
        </w:rPr>
        <w:t>, resoundingly,</w:t>
      </w:r>
      <w:r w:rsidR="0010598C">
        <w:rPr>
          <w:rFonts w:ascii="Times New Roman" w:eastAsia="Calibri" w:hAnsi="Times New Roman" w:cs="Times New Roman"/>
          <w:sz w:val="24"/>
          <w:szCs w:val="24"/>
        </w:rPr>
        <w:t xml:space="preserve"> t</w:t>
      </w:r>
      <w:r w:rsidRPr="008B077F">
        <w:rPr>
          <w:rFonts w:ascii="Times New Roman" w:eastAsia="Calibri" w:hAnsi="Times New Roman" w:cs="Times New Roman"/>
          <w:sz w:val="24"/>
          <w:szCs w:val="24"/>
        </w:rPr>
        <w:t xml:space="preserve">hey are not.   </w:t>
      </w:r>
    </w:p>
    <w:p w14:paraId="3C02D375" w14:textId="77777777" w:rsidR="005A5F62" w:rsidRPr="008B077F" w:rsidRDefault="005A5F62" w:rsidP="005A5F62">
      <w:pPr>
        <w:spacing w:after="0" w:line="240" w:lineRule="auto"/>
        <w:jc w:val="both"/>
        <w:rPr>
          <w:rFonts w:ascii="Times New Roman" w:eastAsia="Calibri" w:hAnsi="Times New Roman" w:cs="Times New Roman"/>
          <w:sz w:val="24"/>
          <w:szCs w:val="24"/>
        </w:rPr>
      </w:pPr>
    </w:p>
    <w:p w14:paraId="3AC25733" w14:textId="15A245F1" w:rsidR="008B077F" w:rsidRPr="008B077F" w:rsidRDefault="008B077F" w:rsidP="008B077F">
      <w:pPr>
        <w:spacing w:after="0" w:line="480" w:lineRule="auto"/>
        <w:jc w:val="both"/>
        <w:rPr>
          <w:rFonts w:ascii="Times New Roman" w:eastAsia="Calibri" w:hAnsi="Times New Roman" w:cs="Times New Roman"/>
          <w:b/>
          <w:sz w:val="24"/>
          <w:szCs w:val="24"/>
          <w:u w:val="single"/>
        </w:rPr>
      </w:pPr>
      <w:r w:rsidRPr="008B077F">
        <w:rPr>
          <w:rFonts w:ascii="Times New Roman" w:eastAsia="Calibri" w:hAnsi="Times New Roman" w:cs="Times New Roman"/>
          <w:b/>
          <w:sz w:val="24"/>
          <w:szCs w:val="24"/>
          <w:u w:val="single"/>
        </w:rPr>
        <w:t>Paragraph #6</w:t>
      </w:r>
      <w:r w:rsidRPr="0067358E">
        <w:rPr>
          <w:rFonts w:ascii="Times New Roman" w:eastAsia="Calibri" w:hAnsi="Times New Roman" w:cs="Times New Roman"/>
          <w:sz w:val="24"/>
          <w:szCs w:val="24"/>
        </w:rPr>
        <w:t xml:space="preserve">: </w:t>
      </w:r>
      <w:r w:rsidRPr="0067358E">
        <w:rPr>
          <w:rFonts w:ascii="Times New Roman" w:eastAsia="Calibri" w:hAnsi="Times New Roman" w:cs="Times New Roman"/>
          <w:sz w:val="24"/>
          <w:szCs w:val="24"/>
          <w:u w:val="single"/>
        </w:rPr>
        <w:t xml:space="preserve"> </w:t>
      </w:r>
      <w:r w:rsidRPr="008B077F">
        <w:rPr>
          <w:rFonts w:ascii="Times New Roman" w:eastAsia="Calibri" w:hAnsi="Times New Roman" w:cs="Times New Roman"/>
          <w:b/>
          <w:sz w:val="24"/>
          <w:szCs w:val="24"/>
          <w:u w:val="single"/>
        </w:rPr>
        <w:t xml:space="preserve">   </w:t>
      </w:r>
    </w:p>
    <w:p w14:paraId="4C9821FC" w14:textId="77777777" w:rsidR="008B077F" w:rsidRPr="008B077F" w:rsidRDefault="008B077F" w:rsidP="005A5F62">
      <w:pPr>
        <w:spacing w:after="0" w:line="240" w:lineRule="auto"/>
        <w:ind w:left="1152" w:right="1152"/>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“By any economic measure, the compensation of New York’s Executive branch and Legislative branch officials has failed to keep pace with the rate of inflation since 1999 when the last pay increase became effective.  One can measure simply by the Consumer Price </w:t>
      </w:r>
      <w:proofErr w:type="gramStart"/>
      <w:r w:rsidRPr="008B077F">
        <w:rPr>
          <w:rFonts w:ascii="Times New Roman" w:eastAsia="Calibri" w:hAnsi="Times New Roman" w:cs="Times New Roman"/>
          <w:sz w:val="24"/>
          <w:szCs w:val="24"/>
        </w:rPr>
        <w:t>Index, and</w:t>
      </w:r>
      <w:proofErr w:type="gramEnd"/>
      <w:r w:rsidRPr="008B077F">
        <w:rPr>
          <w:rFonts w:ascii="Times New Roman" w:eastAsia="Calibri" w:hAnsi="Times New Roman" w:cs="Times New Roman"/>
          <w:sz w:val="24"/>
          <w:szCs w:val="24"/>
        </w:rPr>
        <w:t xml:space="preserve"> determine that the actual purchasing power of the salary contained in law has decreased.  Speaker Carl Heastie, the only Legislator to address this Committee, made a compelling case to the erosion of the legislators’ salaries.  While the median household income in New York is up 67% during the past two decades, the $79,000 base salary for lawmakers now has a purchasing power of $51,401 over 1998 when it was enacted.  Despite working many long hours in their districts, the cost of living in every category – health care, child care, transportation, etc. has far outpaced their salary.    Members of the Legislature are seeking positions in New York City government or the Executive branch at a much greater rate than in past years.”  </w:t>
      </w:r>
    </w:p>
    <w:p w14:paraId="035C8DF4" w14:textId="77777777" w:rsidR="008B077F" w:rsidRPr="008B077F" w:rsidRDefault="008B077F" w:rsidP="008B077F">
      <w:pPr>
        <w:spacing w:after="0" w:line="240" w:lineRule="auto"/>
        <w:ind w:left="720" w:right="720"/>
        <w:jc w:val="both"/>
        <w:rPr>
          <w:rFonts w:ascii="Times New Roman" w:eastAsia="Calibri" w:hAnsi="Times New Roman" w:cs="Times New Roman"/>
          <w:sz w:val="24"/>
          <w:szCs w:val="24"/>
        </w:rPr>
      </w:pPr>
    </w:p>
    <w:p w14:paraId="10BE6F1C" w14:textId="69937AFD" w:rsidR="008B077F" w:rsidRDefault="008B077F" w:rsidP="005A5F62">
      <w:pPr>
        <w:spacing w:after="0" w:line="240" w:lineRule="auto"/>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This paragraph is materially false and deceitful – beginning with its concealment of what NYPIRG Executive Director Blair Horner had stated in both his November 28, 2018 oral </w:t>
      </w:r>
      <w:r w:rsidR="00E712FC">
        <w:rPr>
          <w:rFonts w:ascii="Times New Roman" w:eastAsia="Calibri" w:hAnsi="Times New Roman" w:cs="Times New Roman"/>
          <w:sz w:val="24"/>
          <w:szCs w:val="24"/>
        </w:rPr>
        <w:t xml:space="preserve">testimony and by his </w:t>
      </w:r>
      <w:r w:rsidRPr="008B077F">
        <w:rPr>
          <w:rFonts w:ascii="Times New Roman" w:eastAsia="Calibri" w:hAnsi="Times New Roman" w:cs="Times New Roman"/>
          <w:sz w:val="24"/>
          <w:szCs w:val="24"/>
        </w:rPr>
        <w:t xml:space="preserve">written testimony, namely that New York City Quadrennial Compensation Commission had found that “CPI alone does not adequately capture how the average New Yorker has fared”, that median household income is a better measure, and that the </w:t>
      </w:r>
      <w:r w:rsidR="00465DB5">
        <w:rPr>
          <w:rFonts w:ascii="Times New Roman" w:eastAsia="Calibri" w:hAnsi="Times New Roman" w:cs="Times New Roman"/>
          <w:sz w:val="24"/>
          <w:szCs w:val="24"/>
        </w:rPr>
        <w:t xml:space="preserve">Compensation </w:t>
      </w:r>
      <w:r w:rsidRPr="008B077F">
        <w:rPr>
          <w:rFonts w:ascii="Times New Roman" w:eastAsia="Calibri" w:hAnsi="Times New Roman" w:cs="Times New Roman"/>
          <w:sz w:val="24"/>
          <w:szCs w:val="24"/>
        </w:rPr>
        <w:t xml:space="preserve">Committee should review the Quadrennial Compensation Commission’s work.  This was easy for the Committee to do because the Quadrennial Compensation Commission’s </w:t>
      </w:r>
      <w:r w:rsidR="00734270">
        <w:rPr>
          <w:rFonts w:ascii="Times New Roman" w:eastAsia="Calibri" w:hAnsi="Times New Roman" w:cs="Times New Roman"/>
          <w:sz w:val="24"/>
          <w:szCs w:val="24"/>
        </w:rPr>
        <w:t>2015 R</w:t>
      </w:r>
      <w:r w:rsidRPr="008B077F">
        <w:rPr>
          <w:rFonts w:ascii="Times New Roman" w:eastAsia="Calibri" w:hAnsi="Times New Roman" w:cs="Times New Roman"/>
          <w:sz w:val="24"/>
          <w:szCs w:val="24"/>
        </w:rPr>
        <w:t>eport was already before the Committee – having been furnished a full week earlier, by its chair, Frederick A.O. Schwarz, Jr., by a November 21, 2018 e-mail, stating:</w:t>
      </w:r>
    </w:p>
    <w:p w14:paraId="55F8BF70" w14:textId="77777777" w:rsidR="005A5F62" w:rsidRPr="008B077F" w:rsidRDefault="005A5F62" w:rsidP="005A5F62">
      <w:pPr>
        <w:spacing w:after="0" w:line="240" w:lineRule="auto"/>
        <w:jc w:val="both"/>
        <w:rPr>
          <w:rFonts w:ascii="Times New Roman" w:eastAsia="Calibri" w:hAnsi="Times New Roman" w:cs="Times New Roman"/>
          <w:sz w:val="24"/>
          <w:szCs w:val="24"/>
        </w:rPr>
      </w:pPr>
    </w:p>
    <w:p w14:paraId="74B931C0" w14:textId="77777777" w:rsidR="008B077F" w:rsidRPr="008B077F" w:rsidRDefault="008B077F" w:rsidP="001C2D18">
      <w:pPr>
        <w:spacing w:after="0"/>
        <w:ind w:left="1440" w:right="1440" w:firstLine="720"/>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“In our analysis of how to address changes in the cost of living since the existing pay limits were set, we found it appropriate to rely on changes in median household income more than changes in the consumer price index (‘CPI’).  (See pp. 52-53 </w:t>
      </w:r>
      <w:proofErr w:type="gramStart"/>
      <w:r w:rsidRPr="008B077F">
        <w:rPr>
          <w:rFonts w:ascii="Times New Roman" w:eastAsia="Calibri" w:hAnsi="Times New Roman" w:cs="Times New Roman"/>
          <w:sz w:val="24"/>
          <w:szCs w:val="24"/>
        </w:rPr>
        <w:t>and also</w:t>
      </w:r>
      <w:proofErr w:type="gramEnd"/>
      <w:r w:rsidRPr="008B077F">
        <w:rPr>
          <w:rFonts w:ascii="Times New Roman" w:eastAsia="Calibri" w:hAnsi="Times New Roman" w:cs="Times New Roman"/>
          <w:sz w:val="24"/>
          <w:szCs w:val="24"/>
        </w:rPr>
        <w:t xml:space="preserve"> p. 3 and pp. 42-43).</w:t>
      </w:r>
    </w:p>
    <w:p w14:paraId="1AA0876C" w14:textId="77777777" w:rsidR="008B077F" w:rsidRPr="008B077F" w:rsidRDefault="008B077F" w:rsidP="001C2D18">
      <w:pPr>
        <w:spacing w:after="0"/>
        <w:ind w:left="1440" w:right="1440" w:firstLine="720"/>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This was for two reasons.  First, the CPI is less accurate.  Second, and most importantly, the actions of government officials can affect median household income.”</w:t>
      </w:r>
    </w:p>
    <w:p w14:paraId="1B77F402" w14:textId="77777777" w:rsidR="008B077F" w:rsidRPr="008B077F" w:rsidRDefault="008B077F" w:rsidP="008B077F">
      <w:pPr>
        <w:spacing w:after="0"/>
        <w:ind w:left="1440" w:right="1440"/>
        <w:jc w:val="both"/>
        <w:rPr>
          <w:rFonts w:ascii="Times New Roman" w:eastAsia="Calibri" w:hAnsi="Times New Roman" w:cs="Times New Roman"/>
          <w:sz w:val="24"/>
          <w:szCs w:val="24"/>
        </w:rPr>
      </w:pPr>
    </w:p>
    <w:p w14:paraId="63D8A5EC" w14:textId="5C10AB56" w:rsidR="008B077F" w:rsidRDefault="008B077F" w:rsidP="00855D10">
      <w:pPr>
        <w:spacing w:after="0" w:line="240" w:lineRule="auto"/>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Yet, the only source </w:t>
      </w:r>
      <w:r w:rsidR="00CB440E">
        <w:rPr>
          <w:rFonts w:ascii="Times New Roman" w:eastAsia="Calibri" w:hAnsi="Times New Roman" w:cs="Times New Roman"/>
          <w:sz w:val="24"/>
          <w:szCs w:val="24"/>
        </w:rPr>
        <w:t>this paragraph</w:t>
      </w:r>
      <w:r w:rsidRPr="008B077F">
        <w:rPr>
          <w:rFonts w:ascii="Times New Roman" w:eastAsia="Calibri" w:hAnsi="Times New Roman" w:cs="Times New Roman"/>
          <w:sz w:val="24"/>
          <w:szCs w:val="24"/>
        </w:rPr>
        <w:t xml:space="preserve"> identifie</w:t>
      </w:r>
      <w:r w:rsidR="00CB440E">
        <w:rPr>
          <w:rFonts w:ascii="Times New Roman" w:eastAsia="Calibri" w:hAnsi="Times New Roman" w:cs="Times New Roman"/>
          <w:sz w:val="24"/>
          <w:szCs w:val="24"/>
        </w:rPr>
        <w:t>s</w:t>
      </w:r>
      <w:r w:rsidRPr="008B077F">
        <w:rPr>
          <w:rFonts w:ascii="Times New Roman" w:eastAsia="Calibri" w:hAnsi="Times New Roman" w:cs="Times New Roman"/>
          <w:sz w:val="24"/>
          <w:szCs w:val="24"/>
        </w:rPr>
        <w:t xml:space="preserve"> is Assembly Speaker Heastie who </w:t>
      </w:r>
      <w:r w:rsidR="00465DB5">
        <w:rPr>
          <w:rFonts w:ascii="Times New Roman" w:eastAsia="Calibri" w:hAnsi="Times New Roman" w:cs="Times New Roman"/>
          <w:sz w:val="24"/>
          <w:szCs w:val="24"/>
        </w:rPr>
        <w:t xml:space="preserve">the Committee purports </w:t>
      </w:r>
      <w:r w:rsidRPr="008B077F">
        <w:rPr>
          <w:rFonts w:ascii="Times New Roman" w:eastAsia="Calibri" w:hAnsi="Times New Roman" w:cs="Times New Roman"/>
          <w:sz w:val="24"/>
          <w:szCs w:val="24"/>
        </w:rPr>
        <w:t xml:space="preserve">made “a compelling case”.  This, by </w:t>
      </w:r>
      <w:r w:rsidR="008B6613">
        <w:rPr>
          <w:rFonts w:ascii="Times New Roman" w:eastAsia="Calibri" w:hAnsi="Times New Roman" w:cs="Times New Roman"/>
          <w:sz w:val="24"/>
          <w:szCs w:val="24"/>
        </w:rPr>
        <w:t xml:space="preserve">doing just what the Committee here repeats, </w:t>
      </w:r>
      <w:r w:rsidRPr="008B077F">
        <w:rPr>
          <w:rFonts w:ascii="Times New Roman" w:eastAsia="Calibri" w:hAnsi="Times New Roman" w:cs="Times New Roman"/>
          <w:sz w:val="24"/>
          <w:szCs w:val="24"/>
        </w:rPr>
        <w:t>focusing on the consumer price index, rather than “median household income”, wh</w:t>
      </w:r>
      <w:r w:rsidR="00CB440E">
        <w:rPr>
          <w:rFonts w:ascii="Times New Roman" w:eastAsia="Calibri" w:hAnsi="Times New Roman" w:cs="Times New Roman"/>
          <w:sz w:val="24"/>
          <w:szCs w:val="24"/>
        </w:rPr>
        <w:t xml:space="preserve">ose dollar figure </w:t>
      </w:r>
      <w:r w:rsidR="008B6613">
        <w:rPr>
          <w:rFonts w:ascii="Times New Roman" w:eastAsia="Calibri" w:hAnsi="Times New Roman" w:cs="Times New Roman"/>
          <w:sz w:val="24"/>
          <w:szCs w:val="24"/>
        </w:rPr>
        <w:t>Assembly Speaker Heastie</w:t>
      </w:r>
      <w:r w:rsidRPr="008B077F">
        <w:rPr>
          <w:rFonts w:ascii="Times New Roman" w:eastAsia="Calibri" w:hAnsi="Times New Roman" w:cs="Times New Roman"/>
          <w:sz w:val="24"/>
          <w:szCs w:val="24"/>
        </w:rPr>
        <w:t xml:space="preserve"> </w:t>
      </w:r>
      <w:r w:rsidR="008B6613">
        <w:rPr>
          <w:rFonts w:ascii="Times New Roman" w:eastAsia="Calibri" w:hAnsi="Times New Roman" w:cs="Times New Roman"/>
          <w:sz w:val="24"/>
          <w:szCs w:val="24"/>
        </w:rPr>
        <w:t xml:space="preserve">also did not identify in stating at the November 30, 2018 hearing: </w:t>
      </w:r>
    </w:p>
    <w:p w14:paraId="56A27B26" w14:textId="77777777" w:rsidR="00855D10" w:rsidRPr="008B077F" w:rsidRDefault="00855D10" w:rsidP="00855D10">
      <w:pPr>
        <w:spacing w:after="0" w:line="240" w:lineRule="auto"/>
        <w:jc w:val="both"/>
        <w:rPr>
          <w:rFonts w:ascii="Times New Roman" w:eastAsia="Calibri" w:hAnsi="Times New Roman" w:cs="Times New Roman"/>
          <w:sz w:val="24"/>
          <w:szCs w:val="24"/>
        </w:rPr>
      </w:pPr>
    </w:p>
    <w:p w14:paraId="1B476131" w14:textId="7C173EC7" w:rsidR="008B077F" w:rsidRDefault="008B077F" w:rsidP="008B6613">
      <w:pPr>
        <w:spacing w:after="0" w:line="240" w:lineRule="auto"/>
        <w:ind w:left="1440" w:right="1440"/>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 xml:space="preserve">“The base salary for legislators has remained at $79,500, and its purchasing power has diminished to $51,401.  During this same period, the state median household income has risen by 67 percent.”  </w:t>
      </w:r>
    </w:p>
    <w:p w14:paraId="22D04398" w14:textId="77777777" w:rsidR="008B6613" w:rsidRPr="008B077F" w:rsidRDefault="008B6613" w:rsidP="008B6613">
      <w:pPr>
        <w:spacing w:after="0" w:line="240" w:lineRule="auto"/>
        <w:ind w:left="1440" w:right="1440"/>
        <w:jc w:val="both"/>
        <w:rPr>
          <w:rFonts w:ascii="Times New Roman" w:eastAsia="Calibri" w:hAnsi="Times New Roman" w:cs="Times New Roman"/>
          <w:sz w:val="24"/>
          <w:szCs w:val="24"/>
        </w:rPr>
      </w:pPr>
    </w:p>
    <w:p w14:paraId="3791DC88" w14:textId="4665C452" w:rsidR="000C5342" w:rsidRDefault="008B6613" w:rsidP="00855D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Notably concealed </w:t>
      </w:r>
      <w:r w:rsidR="008C35C0">
        <w:rPr>
          <w:rFonts w:ascii="Times New Roman" w:eastAsia="Calibri" w:hAnsi="Times New Roman" w:cs="Times New Roman"/>
          <w:sz w:val="24"/>
          <w:szCs w:val="24"/>
        </w:rPr>
        <w:t>by Assembly Speaker Heasti</w:t>
      </w:r>
      <w:r w:rsidR="00B5471E">
        <w:rPr>
          <w:rFonts w:ascii="Times New Roman" w:eastAsia="Calibri" w:hAnsi="Times New Roman" w:cs="Times New Roman"/>
          <w:sz w:val="24"/>
          <w:szCs w:val="24"/>
        </w:rPr>
        <w:t>e</w:t>
      </w:r>
      <w:r w:rsidR="008C35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w:t>
      </w:r>
      <w:r w:rsidR="00E712FC">
        <w:rPr>
          <w:rFonts w:ascii="Times New Roman" w:eastAsia="Calibri" w:hAnsi="Times New Roman" w:cs="Times New Roman"/>
          <w:sz w:val="24"/>
          <w:szCs w:val="24"/>
        </w:rPr>
        <w:t xml:space="preserve">what the mean </w:t>
      </w:r>
      <w:r w:rsidR="00D929E9">
        <w:rPr>
          <w:rFonts w:ascii="Times New Roman" w:eastAsia="Calibri" w:hAnsi="Times New Roman" w:cs="Times New Roman"/>
          <w:sz w:val="24"/>
          <w:szCs w:val="24"/>
        </w:rPr>
        <w:t xml:space="preserve">household income was 20 years ago – when the legislators got their $79,500 salary increase – or what it is today, constituting the 67% rise.  </w:t>
      </w:r>
      <w:r w:rsidR="008B077F" w:rsidRPr="008B077F">
        <w:rPr>
          <w:rFonts w:ascii="Times New Roman" w:eastAsia="Calibri" w:hAnsi="Times New Roman" w:cs="Times New Roman"/>
          <w:sz w:val="24"/>
          <w:szCs w:val="24"/>
        </w:rPr>
        <w:t xml:space="preserve">And </w:t>
      </w:r>
      <w:r w:rsidR="00D929E9">
        <w:rPr>
          <w:rFonts w:ascii="Times New Roman" w:eastAsia="Calibri" w:hAnsi="Times New Roman" w:cs="Times New Roman"/>
          <w:sz w:val="24"/>
          <w:szCs w:val="24"/>
        </w:rPr>
        <w:t>th</w:t>
      </w:r>
      <w:r>
        <w:rPr>
          <w:rFonts w:ascii="Times New Roman" w:eastAsia="Calibri" w:hAnsi="Times New Roman" w:cs="Times New Roman"/>
          <w:sz w:val="24"/>
          <w:szCs w:val="24"/>
        </w:rPr>
        <w:t>e Committee</w:t>
      </w:r>
      <w:r w:rsidR="0067358E">
        <w:rPr>
          <w:rFonts w:ascii="Times New Roman" w:eastAsia="Calibri" w:hAnsi="Times New Roman" w:cs="Times New Roman"/>
          <w:sz w:val="24"/>
          <w:szCs w:val="24"/>
        </w:rPr>
        <w:t xml:space="preserve"> here</w:t>
      </w:r>
      <w:r>
        <w:rPr>
          <w:rFonts w:ascii="Times New Roman" w:eastAsia="Calibri" w:hAnsi="Times New Roman" w:cs="Times New Roman"/>
          <w:sz w:val="24"/>
          <w:szCs w:val="24"/>
        </w:rPr>
        <w:t xml:space="preserve"> repeats this</w:t>
      </w:r>
      <w:r w:rsidR="00D929E9">
        <w:rPr>
          <w:rFonts w:ascii="Times New Roman" w:eastAsia="Calibri" w:hAnsi="Times New Roman" w:cs="Times New Roman"/>
          <w:sz w:val="24"/>
          <w:szCs w:val="24"/>
        </w:rPr>
        <w:t>, concea</w:t>
      </w:r>
      <w:r w:rsidR="008B077F" w:rsidRPr="008B077F">
        <w:rPr>
          <w:rFonts w:ascii="Times New Roman" w:eastAsia="Calibri" w:hAnsi="Times New Roman" w:cs="Times New Roman"/>
          <w:sz w:val="24"/>
          <w:szCs w:val="24"/>
        </w:rPr>
        <w:t xml:space="preserve">ling </w:t>
      </w:r>
      <w:r w:rsidR="00D929E9">
        <w:rPr>
          <w:rFonts w:ascii="Times New Roman" w:eastAsia="Calibri" w:hAnsi="Times New Roman" w:cs="Times New Roman"/>
          <w:sz w:val="24"/>
          <w:szCs w:val="24"/>
        </w:rPr>
        <w:t xml:space="preserve">any dollar figures pertaining to </w:t>
      </w:r>
      <w:r w:rsidR="008B077F" w:rsidRPr="008B077F">
        <w:rPr>
          <w:rFonts w:ascii="Times New Roman" w:eastAsia="Calibri" w:hAnsi="Times New Roman" w:cs="Times New Roman"/>
          <w:sz w:val="24"/>
          <w:szCs w:val="24"/>
        </w:rPr>
        <w:t>the median household income</w:t>
      </w:r>
      <w:r w:rsidR="00D929E9">
        <w:rPr>
          <w:rFonts w:ascii="Times New Roman" w:eastAsia="Calibri" w:hAnsi="Times New Roman" w:cs="Times New Roman"/>
          <w:sz w:val="24"/>
          <w:szCs w:val="24"/>
        </w:rPr>
        <w:t xml:space="preserve">, which is currently </w:t>
      </w:r>
      <w:r w:rsidR="008B077F" w:rsidRPr="008B077F">
        <w:rPr>
          <w:rFonts w:ascii="Times New Roman" w:eastAsia="Calibri" w:hAnsi="Times New Roman" w:cs="Times New Roman"/>
          <w:sz w:val="24"/>
          <w:szCs w:val="24"/>
        </w:rPr>
        <w:t xml:space="preserve">$64,894.  In other words, the legislators’ base </w:t>
      </w:r>
      <w:r>
        <w:rPr>
          <w:rFonts w:ascii="Times New Roman" w:eastAsia="Calibri" w:hAnsi="Times New Roman" w:cs="Times New Roman"/>
          <w:sz w:val="24"/>
          <w:szCs w:val="24"/>
        </w:rPr>
        <w:t>salary</w:t>
      </w:r>
      <w:r w:rsidR="008B077F" w:rsidRPr="008B077F">
        <w:rPr>
          <w:rFonts w:ascii="Times New Roman" w:eastAsia="Calibri" w:hAnsi="Times New Roman" w:cs="Times New Roman"/>
          <w:sz w:val="24"/>
          <w:szCs w:val="24"/>
        </w:rPr>
        <w:t xml:space="preserve"> of $79,500 </w:t>
      </w:r>
      <w:r>
        <w:rPr>
          <w:rFonts w:ascii="Times New Roman" w:eastAsia="Calibri" w:hAnsi="Times New Roman" w:cs="Times New Roman"/>
          <w:sz w:val="24"/>
          <w:szCs w:val="24"/>
        </w:rPr>
        <w:t xml:space="preserve">today </w:t>
      </w:r>
      <w:r w:rsidR="008B077F" w:rsidRPr="008B077F">
        <w:rPr>
          <w:rFonts w:ascii="Times New Roman" w:eastAsia="Calibri" w:hAnsi="Times New Roman" w:cs="Times New Roman"/>
          <w:sz w:val="24"/>
          <w:szCs w:val="24"/>
        </w:rPr>
        <w:t xml:space="preserve">is </w:t>
      </w:r>
      <w:r>
        <w:rPr>
          <w:rFonts w:ascii="Times New Roman" w:eastAsia="Calibri" w:hAnsi="Times New Roman" w:cs="Times New Roman"/>
          <w:sz w:val="24"/>
          <w:szCs w:val="24"/>
        </w:rPr>
        <w:t xml:space="preserve">still </w:t>
      </w:r>
      <w:r w:rsidR="008B077F" w:rsidRPr="008B077F">
        <w:rPr>
          <w:rFonts w:ascii="Times New Roman" w:eastAsia="Calibri" w:hAnsi="Times New Roman" w:cs="Times New Roman"/>
          <w:sz w:val="24"/>
          <w:szCs w:val="24"/>
        </w:rPr>
        <w:t xml:space="preserve">$15,000 higher than the median household income – on top of which </w:t>
      </w:r>
      <w:r>
        <w:rPr>
          <w:rFonts w:ascii="Times New Roman" w:eastAsia="Calibri" w:hAnsi="Times New Roman" w:cs="Times New Roman"/>
          <w:sz w:val="24"/>
          <w:szCs w:val="24"/>
        </w:rPr>
        <w:t xml:space="preserve">legislators have </w:t>
      </w:r>
      <w:r w:rsidR="0067358E">
        <w:rPr>
          <w:rFonts w:ascii="Times New Roman" w:eastAsia="Calibri" w:hAnsi="Times New Roman" w:cs="Times New Roman"/>
          <w:sz w:val="24"/>
          <w:szCs w:val="24"/>
        </w:rPr>
        <w:t xml:space="preserve">Legislative Law </w:t>
      </w:r>
      <w:r w:rsidR="005864F8" w:rsidRPr="008B077F">
        <w:rPr>
          <w:rFonts w:ascii="Times New Roman" w:eastAsia="Times New Roman" w:hAnsi="Times New Roman" w:cs="Times New Roman"/>
          <w:snapToGrid w:val="0"/>
          <w:sz w:val="24"/>
          <w:szCs w:val="24"/>
        </w:rPr>
        <w:t>§</w:t>
      </w:r>
      <w:r w:rsidR="0067358E">
        <w:rPr>
          <w:rFonts w:ascii="Times New Roman" w:eastAsia="Calibri" w:hAnsi="Times New Roman" w:cs="Times New Roman"/>
          <w:sz w:val="24"/>
          <w:szCs w:val="24"/>
        </w:rPr>
        <w:t>5-a</w:t>
      </w:r>
      <w:r w:rsidR="005864F8">
        <w:rPr>
          <w:rFonts w:ascii="Times New Roman" w:eastAsia="Calibri" w:hAnsi="Times New Roman" w:cs="Times New Roman"/>
          <w:sz w:val="24"/>
          <w:szCs w:val="24"/>
        </w:rPr>
        <w:t xml:space="preserve"> stipends</w:t>
      </w:r>
      <w:r w:rsidR="008B077F" w:rsidRPr="008B077F">
        <w:rPr>
          <w:rFonts w:ascii="Times New Roman" w:eastAsia="Calibri" w:hAnsi="Times New Roman" w:cs="Times New Roman"/>
          <w:sz w:val="24"/>
          <w:szCs w:val="24"/>
        </w:rPr>
        <w:t xml:space="preserve">, </w:t>
      </w:r>
      <w:r w:rsidR="0067358E">
        <w:rPr>
          <w:rFonts w:ascii="Times New Roman" w:eastAsia="Calibri" w:hAnsi="Times New Roman" w:cs="Times New Roman"/>
          <w:sz w:val="24"/>
          <w:szCs w:val="24"/>
        </w:rPr>
        <w:t>plus p</w:t>
      </w:r>
      <w:r w:rsidR="008B077F" w:rsidRPr="008B077F">
        <w:rPr>
          <w:rFonts w:ascii="Times New Roman" w:eastAsia="Calibri" w:hAnsi="Times New Roman" w:cs="Times New Roman"/>
          <w:sz w:val="24"/>
          <w:szCs w:val="24"/>
        </w:rPr>
        <w:t xml:space="preserve">er diems, </w:t>
      </w:r>
      <w:r w:rsidR="005864F8">
        <w:rPr>
          <w:rFonts w:ascii="Times New Roman" w:eastAsia="Calibri" w:hAnsi="Times New Roman" w:cs="Times New Roman"/>
          <w:sz w:val="24"/>
          <w:szCs w:val="24"/>
        </w:rPr>
        <w:t xml:space="preserve">mileage, </w:t>
      </w:r>
      <w:r w:rsidR="008B077F" w:rsidRPr="008B077F">
        <w:rPr>
          <w:rFonts w:ascii="Times New Roman" w:eastAsia="Calibri" w:hAnsi="Times New Roman" w:cs="Times New Roman"/>
          <w:sz w:val="24"/>
          <w:szCs w:val="24"/>
        </w:rPr>
        <w:t>pensions</w:t>
      </w:r>
      <w:r>
        <w:rPr>
          <w:rFonts w:ascii="Times New Roman" w:eastAsia="Calibri" w:hAnsi="Times New Roman" w:cs="Times New Roman"/>
          <w:sz w:val="24"/>
          <w:szCs w:val="24"/>
        </w:rPr>
        <w:t xml:space="preserve">, </w:t>
      </w:r>
      <w:r w:rsidR="008B077F" w:rsidRPr="008B077F">
        <w:rPr>
          <w:rFonts w:ascii="Times New Roman" w:eastAsia="Calibri" w:hAnsi="Times New Roman" w:cs="Times New Roman"/>
          <w:sz w:val="24"/>
          <w:szCs w:val="24"/>
        </w:rPr>
        <w:t>health insurance</w:t>
      </w:r>
      <w:r w:rsidR="005864F8">
        <w:rPr>
          <w:rFonts w:ascii="Times New Roman" w:eastAsia="Calibri" w:hAnsi="Times New Roman" w:cs="Times New Roman"/>
          <w:sz w:val="24"/>
          <w:szCs w:val="24"/>
        </w:rPr>
        <w:t xml:space="preserve"> – and perhaps other items</w:t>
      </w:r>
      <w:r w:rsidR="000C5342">
        <w:rPr>
          <w:rFonts w:ascii="Times New Roman" w:eastAsia="Calibri" w:hAnsi="Times New Roman" w:cs="Times New Roman"/>
          <w:sz w:val="24"/>
          <w:szCs w:val="24"/>
        </w:rPr>
        <w:t xml:space="preserve"> – none of which Speaker Heastie had revealed and all of which the Committee members are presumed knowledgeable, as current and former comptrollers, with two members former legislators – DiNapoli and Stringer.</w:t>
      </w:r>
    </w:p>
    <w:p w14:paraId="634F9AE1" w14:textId="7FF584FF" w:rsidR="0067358E" w:rsidRDefault="0067358E" w:rsidP="00855D10">
      <w:pPr>
        <w:spacing w:after="0" w:line="240" w:lineRule="auto"/>
        <w:jc w:val="both"/>
        <w:rPr>
          <w:rFonts w:ascii="Times New Roman" w:eastAsia="Calibri" w:hAnsi="Times New Roman" w:cs="Times New Roman"/>
          <w:sz w:val="24"/>
          <w:szCs w:val="24"/>
        </w:rPr>
      </w:pPr>
    </w:p>
    <w:p w14:paraId="145B7684" w14:textId="5784F211" w:rsidR="00530000" w:rsidRDefault="0067358E" w:rsidP="00855D1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Notably, </w:t>
      </w:r>
      <w:r w:rsidR="005864F8">
        <w:rPr>
          <w:rFonts w:ascii="Times New Roman" w:eastAsia="Calibri" w:hAnsi="Times New Roman" w:cs="Times New Roman"/>
          <w:sz w:val="24"/>
          <w:szCs w:val="24"/>
        </w:rPr>
        <w:t xml:space="preserve">the ONLY non-salary compensation addressed by the Committee’s </w:t>
      </w:r>
      <w:r w:rsidR="000C5342">
        <w:rPr>
          <w:rFonts w:ascii="Times New Roman" w:eastAsia="Calibri" w:hAnsi="Times New Roman" w:cs="Times New Roman"/>
          <w:sz w:val="24"/>
          <w:szCs w:val="24"/>
        </w:rPr>
        <w:t>R</w:t>
      </w:r>
      <w:r w:rsidR="005864F8">
        <w:rPr>
          <w:rFonts w:ascii="Times New Roman" w:eastAsia="Calibri" w:hAnsi="Times New Roman" w:cs="Times New Roman"/>
          <w:sz w:val="24"/>
          <w:szCs w:val="24"/>
        </w:rPr>
        <w:t xml:space="preserve">eport – and that in a completely superficial and unauthorized fashion, are </w:t>
      </w:r>
      <w:r>
        <w:rPr>
          <w:rFonts w:ascii="Times New Roman" w:eastAsia="Calibri" w:hAnsi="Times New Roman" w:cs="Times New Roman"/>
          <w:sz w:val="24"/>
          <w:szCs w:val="24"/>
        </w:rPr>
        <w:t xml:space="preserve">the stipends pursuant to Legislative Law </w:t>
      </w:r>
      <w:r w:rsidR="005864F8" w:rsidRPr="008B077F">
        <w:rPr>
          <w:rFonts w:ascii="Times New Roman" w:eastAsia="Times New Roman" w:hAnsi="Times New Roman" w:cs="Times New Roman"/>
          <w:snapToGrid w:val="0"/>
          <w:sz w:val="24"/>
          <w:szCs w:val="24"/>
        </w:rPr>
        <w:t>§</w:t>
      </w:r>
      <w:r>
        <w:rPr>
          <w:rFonts w:ascii="Times New Roman" w:eastAsia="Calibri" w:hAnsi="Times New Roman" w:cs="Times New Roman"/>
          <w:sz w:val="24"/>
          <w:szCs w:val="24"/>
        </w:rPr>
        <w:t xml:space="preserve">5-a, whose adequacy was </w:t>
      </w:r>
      <w:r w:rsidR="005864F8">
        <w:rPr>
          <w:rFonts w:ascii="Times New Roman" w:eastAsia="Calibri" w:hAnsi="Times New Roman" w:cs="Times New Roman"/>
          <w:sz w:val="24"/>
          <w:szCs w:val="24"/>
        </w:rPr>
        <w:t>expressly part of the Committee’s charge. Nowhere mentioned are the per diems and mileage – even though the Committee had had a slide revealing them – nor</w:t>
      </w:r>
      <w:r w:rsidR="000C5342">
        <w:rPr>
          <w:rFonts w:ascii="Times New Roman" w:eastAsia="Calibri" w:hAnsi="Times New Roman" w:cs="Times New Roman"/>
          <w:sz w:val="24"/>
          <w:szCs w:val="24"/>
        </w:rPr>
        <w:t xml:space="preserve"> health insurance or, perhaps the most substantial of non-salary benefits – and one which is salary</w:t>
      </w:r>
      <w:r w:rsidR="00734270">
        <w:rPr>
          <w:rFonts w:ascii="Times New Roman" w:eastAsia="Calibri" w:hAnsi="Times New Roman" w:cs="Times New Roman"/>
          <w:sz w:val="24"/>
          <w:szCs w:val="24"/>
        </w:rPr>
        <w:t>-</w:t>
      </w:r>
      <w:r w:rsidR="000C5342">
        <w:rPr>
          <w:rFonts w:ascii="Times New Roman" w:eastAsia="Calibri" w:hAnsi="Times New Roman" w:cs="Times New Roman"/>
          <w:sz w:val="24"/>
          <w:szCs w:val="24"/>
        </w:rPr>
        <w:t xml:space="preserve">based, </w:t>
      </w:r>
      <w:r w:rsidR="000C5342" w:rsidRPr="00530000">
        <w:rPr>
          <w:rFonts w:ascii="Times New Roman" w:eastAsia="Calibri" w:hAnsi="Times New Roman" w:cs="Times New Roman"/>
          <w:i/>
          <w:sz w:val="24"/>
          <w:szCs w:val="24"/>
        </w:rPr>
        <w:t>to wit</w:t>
      </w:r>
      <w:r w:rsidR="000C5342">
        <w:rPr>
          <w:rFonts w:ascii="Times New Roman" w:eastAsia="Calibri" w:hAnsi="Times New Roman" w:cs="Times New Roman"/>
          <w:sz w:val="24"/>
          <w:szCs w:val="24"/>
        </w:rPr>
        <w:t>, pensions</w:t>
      </w:r>
      <w:r w:rsidR="00530000">
        <w:rPr>
          <w:rFonts w:ascii="Times New Roman" w:eastAsia="Calibri" w:hAnsi="Times New Roman" w:cs="Times New Roman"/>
          <w:sz w:val="24"/>
          <w:szCs w:val="24"/>
        </w:rPr>
        <w:t xml:space="preserve">, as to which </w:t>
      </w:r>
      <w:r w:rsidR="001C2D18">
        <w:rPr>
          <w:rFonts w:ascii="Times New Roman" w:eastAsia="Calibri" w:hAnsi="Times New Roman" w:cs="Times New Roman"/>
          <w:sz w:val="24"/>
          <w:szCs w:val="24"/>
        </w:rPr>
        <w:t xml:space="preserve">almost </w:t>
      </w:r>
      <w:r w:rsidR="00530000">
        <w:rPr>
          <w:rFonts w:ascii="Times New Roman" w:eastAsia="Calibri" w:hAnsi="Times New Roman" w:cs="Times New Roman"/>
          <w:sz w:val="24"/>
          <w:szCs w:val="24"/>
        </w:rPr>
        <w:t>45 years ago, it was already held:</w:t>
      </w:r>
    </w:p>
    <w:p w14:paraId="547B5E3C" w14:textId="77777777" w:rsidR="00530000" w:rsidRDefault="00530000" w:rsidP="00855D10">
      <w:pPr>
        <w:spacing w:after="0" w:line="240" w:lineRule="auto"/>
        <w:jc w:val="both"/>
        <w:rPr>
          <w:rFonts w:ascii="Times New Roman" w:eastAsia="Calibri" w:hAnsi="Times New Roman" w:cs="Times New Roman"/>
          <w:sz w:val="24"/>
          <w:szCs w:val="24"/>
        </w:rPr>
      </w:pPr>
    </w:p>
    <w:p w14:paraId="51DA2242" w14:textId="016FB37A" w:rsidR="00530000" w:rsidRDefault="00530000" w:rsidP="00530000">
      <w:pPr>
        <w:spacing w:after="0" w:line="240" w:lineRule="auto"/>
        <w:ind w:left="1152" w:right="1152"/>
        <w:jc w:val="both"/>
        <w:rPr>
          <w:rFonts w:ascii="Times New Roman" w:hAnsi="Times New Roman" w:cs="Times New Roman"/>
          <w:sz w:val="24"/>
          <w:szCs w:val="24"/>
        </w:rPr>
      </w:pPr>
      <w:bookmarkStart w:id="9" w:name="_Hlk534553201"/>
      <w:r w:rsidRPr="00592D2F">
        <w:rPr>
          <w:rFonts w:ascii="Times New Roman" w:hAnsi="Times New Roman" w:cs="Times New Roman"/>
          <w:sz w:val="24"/>
          <w:szCs w:val="24"/>
        </w:rPr>
        <w:t xml:space="preserve">“Retirement benefits in the public as in the private sector must now be viewed as a significant and integral component of current compensation. </w:t>
      </w:r>
      <w:bookmarkEnd w:id="9"/>
      <w:r>
        <w:rPr>
          <w:rFonts w:ascii="Times New Roman" w:hAnsi="Times New Roman" w:cs="Times New Roman"/>
          <w:sz w:val="24"/>
          <w:szCs w:val="24"/>
        </w:rPr>
        <w:t xml:space="preserve">… </w:t>
      </w:r>
      <w:r w:rsidRPr="00592D2F">
        <w:rPr>
          <w:rFonts w:ascii="Times New Roman" w:hAnsi="Times New Roman" w:cs="Times New Roman"/>
          <w:sz w:val="24"/>
          <w:szCs w:val="24"/>
        </w:rPr>
        <w:t xml:space="preserve">As we observed in review of the New York State Teachers Retirement System, </w:t>
      </w:r>
      <w:r>
        <w:rPr>
          <w:rFonts w:ascii="Times New Roman" w:hAnsi="Times New Roman" w:cs="Times New Roman"/>
          <w:sz w:val="24"/>
          <w:szCs w:val="24"/>
        </w:rPr>
        <w:t>‘</w:t>
      </w:r>
      <w:r w:rsidRPr="00592D2F">
        <w:rPr>
          <w:rFonts w:ascii="Times New Roman" w:hAnsi="Times New Roman" w:cs="Times New Roman"/>
          <w:sz w:val="24"/>
          <w:szCs w:val="24"/>
        </w:rPr>
        <w:t xml:space="preserve">the security offered by membership in the retirement system is generally regarded as an inducement to employment in State service or in the public schools. The value of the retirement benefits and prospective rate of payment, especially in the face of continued inflation, is of vital concern to the [members] and might well be the determining factor in their decision to continue in the teaching </w:t>
      </w:r>
      <w:proofErr w:type="gramStart"/>
      <w:r w:rsidRPr="00592D2F">
        <w:rPr>
          <w:rFonts w:ascii="Times New Roman" w:hAnsi="Times New Roman" w:cs="Times New Roman"/>
          <w:sz w:val="24"/>
          <w:szCs w:val="24"/>
        </w:rPr>
        <w:t>profession, or</w:t>
      </w:r>
      <w:proofErr w:type="gramEnd"/>
      <w:r w:rsidRPr="00592D2F">
        <w:rPr>
          <w:rFonts w:ascii="Times New Roman" w:hAnsi="Times New Roman" w:cs="Times New Roman"/>
          <w:sz w:val="24"/>
          <w:szCs w:val="24"/>
        </w:rPr>
        <w:t xml:space="preserve"> seek more lucrative employment.</w:t>
      </w:r>
      <w:r>
        <w:rPr>
          <w:rFonts w:ascii="Times New Roman" w:hAnsi="Times New Roman" w:cs="Times New Roman"/>
          <w:sz w:val="24"/>
          <w:szCs w:val="24"/>
        </w:rPr>
        <w:t>’</w:t>
      </w:r>
      <w:r w:rsidRPr="00592D2F">
        <w:rPr>
          <w:rFonts w:ascii="Times New Roman" w:hAnsi="Times New Roman" w:cs="Times New Roman"/>
          <w:sz w:val="24"/>
          <w:szCs w:val="24"/>
        </w:rPr>
        <w:t xml:space="preserve"> (</w:t>
      </w:r>
      <w:hyperlink r:id="rId12" w:history="1">
        <w:r w:rsidRPr="00592D2F">
          <w:rPr>
            <w:rFonts w:ascii="Times New Roman" w:hAnsi="Times New Roman" w:cs="Times New Roman"/>
            <w:i/>
            <w:iCs/>
            <w:color w:val="0000FF"/>
            <w:sz w:val="24"/>
            <w:szCs w:val="24"/>
            <w:u w:val="single"/>
          </w:rPr>
          <w:t>Birnbaum v New York State Teachers Retirement System</w:t>
        </w:r>
        <w:r w:rsidRPr="00592D2F">
          <w:rPr>
            <w:rFonts w:ascii="Times New Roman" w:hAnsi="Times New Roman" w:cs="Times New Roman"/>
            <w:color w:val="0000FF"/>
            <w:sz w:val="24"/>
            <w:szCs w:val="24"/>
            <w:u w:val="single"/>
          </w:rPr>
          <w:t>, 5 N.Y.2d 1, 6</w:t>
        </w:r>
      </w:hyperlink>
      <w:r w:rsidRPr="00592D2F">
        <w:rPr>
          <w:rFonts w:ascii="Times New Roman" w:hAnsi="Times New Roman" w:cs="Times New Roman"/>
          <w:sz w:val="24"/>
          <w:szCs w:val="24"/>
        </w:rPr>
        <w:t>.) While we recognize that the inducements to as well as the rewards for public service by elected members of the executive and legislative branches of our State government are not precisely parallel to those in private employment or in nonelective positions in government service, nonetheless, in our view retirement benefits constitute as real and substantial a form of compensation as does a pay check. The only significant difference lies in the time of payment.</w:t>
      </w:r>
      <w:r w:rsidR="001C2D18">
        <w:rPr>
          <w:rFonts w:ascii="Times New Roman" w:hAnsi="Times New Roman" w:cs="Times New Roman"/>
          <w:sz w:val="24"/>
          <w:szCs w:val="24"/>
        </w:rPr>
        <w:t xml:space="preserve"> … </w:t>
      </w:r>
      <w:r w:rsidRPr="00592D2F">
        <w:rPr>
          <w:rFonts w:ascii="Times New Roman" w:hAnsi="Times New Roman" w:cs="Times New Roman"/>
          <w:sz w:val="24"/>
          <w:szCs w:val="24"/>
        </w:rPr>
        <w:t xml:space="preserve"> Retirement benefits are a component of present compensation</w:t>
      </w:r>
      <w:r w:rsidR="001C2D18">
        <w:rPr>
          <w:rFonts w:ascii="Times New Roman" w:hAnsi="Times New Roman" w:cs="Times New Roman"/>
          <w:sz w:val="24"/>
          <w:szCs w:val="24"/>
        </w:rPr>
        <w:t xml:space="preserve">”, </w:t>
      </w:r>
      <w:proofErr w:type="spellStart"/>
      <w:r w:rsidR="001C2D18" w:rsidRPr="00254BA4">
        <w:rPr>
          <w:rFonts w:ascii="Times New Roman" w:eastAsia="Times New Roman" w:hAnsi="Times New Roman" w:cs="Times New Roman"/>
          <w:bCs/>
          <w:i/>
          <w:sz w:val="24"/>
          <w:szCs w:val="24"/>
        </w:rPr>
        <w:t>Boryszewski</w:t>
      </w:r>
      <w:proofErr w:type="spellEnd"/>
      <w:r w:rsidR="001C2D18" w:rsidRPr="00254BA4">
        <w:rPr>
          <w:rFonts w:ascii="Times New Roman" w:eastAsia="Times New Roman" w:hAnsi="Times New Roman" w:cs="Times New Roman"/>
          <w:bCs/>
          <w:i/>
          <w:sz w:val="24"/>
          <w:szCs w:val="24"/>
        </w:rPr>
        <w:t xml:space="preserve"> </w:t>
      </w:r>
      <w:r w:rsidR="001C2D18" w:rsidRPr="00C92F35">
        <w:rPr>
          <w:rFonts w:ascii="Times New Roman" w:eastAsia="Times New Roman" w:hAnsi="Times New Roman" w:cs="Times New Roman"/>
          <w:bCs/>
          <w:i/>
          <w:sz w:val="24"/>
          <w:szCs w:val="24"/>
        </w:rPr>
        <w:t>v.</w:t>
      </w:r>
      <w:r w:rsidR="001C2D18" w:rsidRPr="00254BA4">
        <w:rPr>
          <w:rFonts w:ascii="Times New Roman" w:eastAsia="Times New Roman" w:hAnsi="Times New Roman" w:cs="Times New Roman"/>
          <w:bCs/>
          <w:i/>
          <w:sz w:val="24"/>
          <w:szCs w:val="24"/>
        </w:rPr>
        <w:t xml:space="preserve"> </w:t>
      </w:r>
      <w:proofErr w:type="spellStart"/>
      <w:r w:rsidR="001C2D18" w:rsidRPr="00254BA4">
        <w:rPr>
          <w:rFonts w:ascii="Times New Roman" w:eastAsia="Times New Roman" w:hAnsi="Times New Roman" w:cs="Times New Roman"/>
          <w:bCs/>
          <w:i/>
          <w:sz w:val="24"/>
          <w:szCs w:val="24"/>
        </w:rPr>
        <w:t>Brydges</w:t>
      </w:r>
      <w:proofErr w:type="spellEnd"/>
      <w:r w:rsidR="001C2D18" w:rsidRPr="00254BA4">
        <w:rPr>
          <w:rFonts w:ascii="Times New Roman" w:eastAsia="Times New Roman" w:hAnsi="Times New Roman" w:cs="Times New Roman"/>
          <w:bCs/>
          <w:sz w:val="24"/>
          <w:szCs w:val="24"/>
        </w:rPr>
        <w:t>,</w:t>
      </w:r>
      <w:r w:rsidR="001C2D18" w:rsidRPr="00C92F35">
        <w:rPr>
          <w:rFonts w:ascii="Times New Roman" w:eastAsia="Times New Roman" w:hAnsi="Times New Roman" w:cs="Times New Roman"/>
          <w:bCs/>
          <w:sz w:val="24"/>
          <w:szCs w:val="24"/>
        </w:rPr>
        <w:t xml:space="preserve"> 37 N.Y.2d 361</w:t>
      </w:r>
      <w:r w:rsidR="001C2D18">
        <w:rPr>
          <w:rFonts w:ascii="Times New Roman" w:eastAsia="Times New Roman" w:hAnsi="Times New Roman" w:cs="Times New Roman"/>
          <w:bCs/>
          <w:sz w:val="24"/>
          <w:szCs w:val="24"/>
        </w:rPr>
        <w:t>, 368</w:t>
      </w:r>
      <w:r w:rsidR="001C2D18" w:rsidRPr="00C92F35">
        <w:rPr>
          <w:rFonts w:ascii="Times New Roman" w:eastAsia="Times New Roman" w:hAnsi="Times New Roman" w:cs="Times New Roman"/>
          <w:bCs/>
          <w:sz w:val="24"/>
          <w:szCs w:val="24"/>
        </w:rPr>
        <w:t xml:space="preserve"> (1975)</w:t>
      </w:r>
      <w:r w:rsidR="001C2D18">
        <w:rPr>
          <w:rFonts w:ascii="Times New Roman" w:eastAsia="Times New Roman" w:hAnsi="Times New Roman" w:cs="Times New Roman"/>
          <w:bCs/>
          <w:sz w:val="24"/>
          <w:szCs w:val="24"/>
        </w:rPr>
        <w:t>.</w:t>
      </w:r>
    </w:p>
    <w:p w14:paraId="3E912128" w14:textId="77777777" w:rsidR="001E4FCE" w:rsidRPr="008B077F" w:rsidRDefault="001E4FCE" w:rsidP="00855D10">
      <w:pPr>
        <w:spacing w:after="0" w:line="240" w:lineRule="auto"/>
        <w:jc w:val="both"/>
        <w:rPr>
          <w:rFonts w:ascii="Times New Roman" w:eastAsia="Calibri" w:hAnsi="Times New Roman" w:cs="Times New Roman"/>
          <w:sz w:val="24"/>
          <w:szCs w:val="24"/>
        </w:rPr>
      </w:pPr>
    </w:p>
    <w:p w14:paraId="46DA1DA3" w14:textId="41CFF43B" w:rsidR="00D76850" w:rsidRDefault="008B077F" w:rsidP="001E4FCE">
      <w:pPr>
        <w:spacing w:after="0" w:line="240" w:lineRule="auto"/>
        <w:jc w:val="both"/>
        <w:rPr>
          <w:rFonts w:ascii="Times New Roman" w:eastAsia="Calibri" w:hAnsi="Times New Roman" w:cs="Times New Roman"/>
          <w:sz w:val="24"/>
          <w:szCs w:val="24"/>
        </w:rPr>
      </w:pPr>
      <w:r w:rsidRPr="008B077F">
        <w:rPr>
          <w:rFonts w:ascii="Times New Roman" w:eastAsia="Calibri" w:hAnsi="Times New Roman" w:cs="Times New Roman"/>
          <w:sz w:val="24"/>
          <w:szCs w:val="24"/>
        </w:rPr>
        <w:t>As for the last sentence of this paragraph: “Members of the Legislature are seeking positions in New York City government or the Executive branch at a much greater rate than in past years.”, the</w:t>
      </w:r>
      <w:r w:rsidR="00D929E9">
        <w:rPr>
          <w:rFonts w:ascii="Times New Roman" w:eastAsia="Calibri" w:hAnsi="Times New Roman" w:cs="Times New Roman"/>
          <w:sz w:val="24"/>
          <w:szCs w:val="24"/>
        </w:rPr>
        <w:t xml:space="preserve"> Committee furnishes </w:t>
      </w:r>
      <w:proofErr w:type="gramStart"/>
      <w:r w:rsidR="00D929E9">
        <w:rPr>
          <w:rFonts w:ascii="Times New Roman" w:eastAsia="Calibri" w:hAnsi="Times New Roman" w:cs="Times New Roman"/>
          <w:sz w:val="24"/>
          <w:szCs w:val="24"/>
        </w:rPr>
        <w:t xml:space="preserve">no </w:t>
      </w:r>
      <w:r w:rsidRPr="008B077F">
        <w:rPr>
          <w:rFonts w:ascii="Times New Roman" w:eastAsia="Calibri" w:hAnsi="Times New Roman" w:cs="Times New Roman"/>
          <w:sz w:val="24"/>
          <w:szCs w:val="24"/>
        </w:rPr>
        <w:t>particular</w:t>
      </w:r>
      <w:r w:rsidR="00D929E9">
        <w:rPr>
          <w:rFonts w:ascii="Times New Roman" w:eastAsia="Calibri" w:hAnsi="Times New Roman" w:cs="Times New Roman"/>
          <w:sz w:val="24"/>
          <w:szCs w:val="24"/>
        </w:rPr>
        <w:t>s</w:t>
      </w:r>
      <w:proofErr w:type="gramEnd"/>
      <w:r w:rsidR="00083FBB">
        <w:rPr>
          <w:rFonts w:ascii="Times New Roman" w:eastAsia="Calibri" w:hAnsi="Times New Roman" w:cs="Times New Roman"/>
          <w:sz w:val="24"/>
          <w:szCs w:val="24"/>
        </w:rPr>
        <w:t>.</w:t>
      </w:r>
      <w:r w:rsidRPr="008B077F">
        <w:rPr>
          <w:rFonts w:ascii="Times New Roman" w:eastAsia="Calibri" w:hAnsi="Times New Roman" w:cs="Times New Roman"/>
          <w:sz w:val="24"/>
          <w:szCs w:val="24"/>
        </w:rPr>
        <w:t xml:space="preserve"> </w:t>
      </w:r>
      <w:r w:rsidR="00D929E9">
        <w:rPr>
          <w:rFonts w:ascii="Times New Roman" w:eastAsia="Calibri" w:hAnsi="Times New Roman" w:cs="Times New Roman"/>
          <w:sz w:val="24"/>
          <w:szCs w:val="24"/>
        </w:rPr>
        <w:t xml:space="preserve"> </w:t>
      </w:r>
      <w:r w:rsidRPr="008B077F">
        <w:rPr>
          <w:rFonts w:ascii="Times New Roman" w:eastAsia="Calibri" w:hAnsi="Times New Roman" w:cs="Times New Roman"/>
          <w:sz w:val="24"/>
          <w:szCs w:val="24"/>
        </w:rPr>
        <w:t xml:space="preserve">Assembly Speaker </w:t>
      </w:r>
      <w:r w:rsidR="00D929E9">
        <w:rPr>
          <w:rFonts w:ascii="Times New Roman" w:eastAsia="Calibri" w:hAnsi="Times New Roman" w:cs="Times New Roman"/>
          <w:sz w:val="24"/>
          <w:szCs w:val="24"/>
        </w:rPr>
        <w:t xml:space="preserve">Heastie </w:t>
      </w:r>
      <w:r w:rsidRPr="008B077F">
        <w:rPr>
          <w:rFonts w:ascii="Times New Roman" w:eastAsia="Calibri" w:hAnsi="Times New Roman" w:cs="Times New Roman"/>
          <w:sz w:val="24"/>
          <w:szCs w:val="24"/>
        </w:rPr>
        <w:t>gave no testimony</w:t>
      </w:r>
      <w:r w:rsidR="00D929E9">
        <w:rPr>
          <w:rFonts w:ascii="Times New Roman" w:eastAsia="Calibri" w:hAnsi="Times New Roman" w:cs="Times New Roman"/>
          <w:sz w:val="24"/>
          <w:szCs w:val="24"/>
        </w:rPr>
        <w:t xml:space="preserve"> o</w:t>
      </w:r>
      <w:r w:rsidRPr="008B077F">
        <w:rPr>
          <w:rFonts w:ascii="Times New Roman" w:eastAsia="Calibri" w:hAnsi="Times New Roman" w:cs="Times New Roman"/>
          <w:sz w:val="24"/>
          <w:szCs w:val="24"/>
        </w:rPr>
        <w:t xml:space="preserve">n the subject, either orally or by written submission.  The sole witness who made mention of state legislators going to other positions was Common Cause Executive Director </w:t>
      </w:r>
      <w:r w:rsidR="00D449EF">
        <w:rPr>
          <w:rFonts w:ascii="Times New Roman" w:eastAsia="Calibri" w:hAnsi="Times New Roman" w:cs="Times New Roman"/>
          <w:sz w:val="24"/>
          <w:szCs w:val="24"/>
        </w:rPr>
        <w:t xml:space="preserve">Susan </w:t>
      </w:r>
      <w:r w:rsidRPr="008B077F">
        <w:rPr>
          <w:rFonts w:ascii="Times New Roman" w:eastAsia="Calibri" w:hAnsi="Times New Roman" w:cs="Times New Roman"/>
          <w:sz w:val="24"/>
          <w:szCs w:val="24"/>
        </w:rPr>
        <w:t xml:space="preserve">Lerner and her </w:t>
      </w:r>
      <w:r w:rsidR="00863CA4">
        <w:rPr>
          <w:rFonts w:ascii="Times New Roman" w:eastAsia="Calibri" w:hAnsi="Times New Roman" w:cs="Times New Roman"/>
          <w:sz w:val="24"/>
          <w:szCs w:val="24"/>
        </w:rPr>
        <w:t xml:space="preserve">oral </w:t>
      </w:r>
      <w:r w:rsidRPr="008B077F">
        <w:rPr>
          <w:rFonts w:ascii="Times New Roman" w:eastAsia="Calibri" w:hAnsi="Times New Roman" w:cs="Times New Roman"/>
          <w:sz w:val="24"/>
          <w:szCs w:val="24"/>
        </w:rPr>
        <w:t xml:space="preserve">testimony </w:t>
      </w:r>
      <w:r w:rsidR="00D449EF">
        <w:rPr>
          <w:rFonts w:ascii="Times New Roman" w:eastAsia="Calibri" w:hAnsi="Times New Roman" w:cs="Times New Roman"/>
          <w:sz w:val="24"/>
          <w:szCs w:val="24"/>
        </w:rPr>
        <w:t xml:space="preserve">at the November 30, 2018 hearing </w:t>
      </w:r>
      <w:r w:rsidRPr="008B077F">
        <w:rPr>
          <w:rFonts w:ascii="Times New Roman" w:eastAsia="Calibri" w:hAnsi="Times New Roman" w:cs="Times New Roman"/>
          <w:sz w:val="24"/>
          <w:szCs w:val="24"/>
        </w:rPr>
        <w:t xml:space="preserve">was limited to the </w:t>
      </w:r>
      <w:r w:rsidR="00D449EF">
        <w:rPr>
          <w:rFonts w:ascii="Times New Roman" w:eastAsia="Calibri" w:hAnsi="Times New Roman" w:cs="Times New Roman"/>
          <w:sz w:val="24"/>
          <w:szCs w:val="24"/>
        </w:rPr>
        <w:t xml:space="preserve">salary disparity with the </w:t>
      </w:r>
      <w:r w:rsidRPr="008B077F">
        <w:rPr>
          <w:rFonts w:ascii="Times New Roman" w:eastAsia="Calibri" w:hAnsi="Times New Roman" w:cs="Times New Roman"/>
          <w:sz w:val="24"/>
          <w:szCs w:val="24"/>
        </w:rPr>
        <w:t>City Council, in the wake of</w:t>
      </w:r>
      <w:r w:rsidR="00083FBB">
        <w:rPr>
          <w:rFonts w:ascii="Times New Roman" w:eastAsia="Calibri" w:hAnsi="Times New Roman" w:cs="Times New Roman"/>
          <w:sz w:val="24"/>
          <w:szCs w:val="24"/>
        </w:rPr>
        <w:t xml:space="preserve"> </w:t>
      </w:r>
      <w:r w:rsidR="00D929E9">
        <w:rPr>
          <w:rFonts w:ascii="Times New Roman" w:eastAsia="Calibri" w:hAnsi="Times New Roman" w:cs="Times New Roman"/>
          <w:sz w:val="24"/>
          <w:szCs w:val="24"/>
        </w:rPr>
        <w:t>the</w:t>
      </w:r>
      <w:r w:rsidR="00083FBB">
        <w:rPr>
          <w:rFonts w:ascii="Times New Roman" w:eastAsia="Calibri" w:hAnsi="Times New Roman" w:cs="Times New Roman"/>
          <w:sz w:val="24"/>
          <w:szCs w:val="24"/>
        </w:rPr>
        <w:t xml:space="preserve"> substantial raise i</w:t>
      </w:r>
      <w:r w:rsidR="00863CA4">
        <w:rPr>
          <w:rFonts w:ascii="Times New Roman" w:eastAsia="Calibri" w:hAnsi="Times New Roman" w:cs="Times New Roman"/>
          <w:sz w:val="24"/>
          <w:szCs w:val="24"/>
        </w:rPr>
        <w:t>t</w:t>
      </w:r>
      <w:r w:rsidR="00D929E9">
        <w:rPr>
          <w:rFonts w:ascii="Times New Roman" w:eastAsia="Calibri" w:hAnsi="Times New Roman" w:cs="Times New Roman"/>
          <w:sz w:val="24"/>
          <w:szCs w:val="24"/>
        </w:rPr>
        <w:t>s</w:t>
      </w:r>
      <w:r w:rsidR="00863CA4">
        <w:rPr>
          <w:rFonts w:ascii="Times New Roman" w:eastAsia="Calibri" w:hAnsi="Times New Roman" w:cs="Times New Roman"/>
          <w:sz w:val="24"/>
          <w:szCs w:val="24"/>
        </w:rPr>
        <w:t xml:space="preserve"> members had </w:t>
      </w:r>
      <w:r w:rsidR="00D929E9">
        <w:rPr>
          <w:rFonts w:ascii="Times New Roman" w:eastAsia="Calibri" w:hAnsi="Times New Roman" w:cs="Times New Roman"/>
          <w:sz w:val="24"/>
          <w:szCs w:val="24"/>
        </w:rPr>
        <w:t xml:space="preserve">voted themselves </w:t>
      </w:r>
      <w:r w:rsidR="00863CA4">
        <w:rPr>
          <w:rFonts w:ascii="Times New Roman" w:eastAsia="Calibri" w:hAnsi="Times New Roman" w:cs="Times New Roman"/>
          <w:sz w:val="24"/>
          <w:szCs w:val="24"/>
        </w:rPr>
        <w:t>in 2016</w:t>
      </w:r>
      <w:r w:rsidR="00D449EF">
        <w:rPr>
          <w:rFonts w:ascii="Times New Roman" w:eastAsia="Calibri" w:hAnsi="Times New Roman" w:cs="Times New Roman"/>
          <w:sz w:val="24"/>
          <w:szCs w:val="24"/>
        </w:rPr>
        <w:t xml:space="preserve"> over and beyond the </w:t>
      </w:r>
      <w:r w:rsidR="00B5471E">
        <w:rPr>
          <w:rFonts w:ascii="Times New Roman" w:eastAsia="Calibri" w:hAnsi="Times New Roman" w:cs="Times New Roman"/>
          <w:sz w:val="24"/>
          <w:szCs w:val="24"/>
        </w:rPr>
        <w:t xml:space="preserve">New York City </w:t>
      </w:r>
      <w:r w:rsidR="00D449EF">
        <w:rPr>
          <w:rFonts w:ascii="Times New Roman" w:eastAsia="Calibri" w:hAnsi="Times New Roman" w:cs="Times New Roman"/>
          <w:sz w:val="24"/>
          <w:szCs w:val="24"/>
        </w:rPr>
        <w:t>Quadrennial Committee’s recommendations</w:t>
      </w:r>
      <w:r w:rsidR="00D929E9">
        <w:rPr>
          <w:rFonts w:ascii="Times New Roman" w:eastAsia="Calibri" w:hAnsi="Times New Roman" w:cs="Times New Roman"/>
          <w:sz w:val="24"/>
          <w:szCs w:val="24"/>
        </w:rPr>
        <w:t xml:space="preserve">.  Notwithstanding </w:t>
      </w:r>
      <w:r w:rsidR="00D449EF">
        <w:rPr>
          <w:rFonts w:ascii="Times New Roman" w:eastAsia="Calibri" w:hAnsi="Times New Roman" w:cs="Times New Roman"/>
          <w:sz w:val="24"/>
          <w:szCs w:val="24"/>
        </w:rPr>
        <w:t>Ms. Lerner</w:t>
      </w:r>
      <w:r w:rsidR="00D929E9">
        <w:rPr>
          <w:rFonts w:ascii="Times New Roman" w:eastAsia="Calibri" w:hAnsi="Times New Roman" w:cs="Times New Roman"/>
          <w:sz w:val="24"/>
          <w:szCs w:val="24"/>
        </w:rPr>
        <w:t xml:space="preserve"> stated </w:t>
      </w:r>
      <w:r w:rsidR="00863CA4">
        <w:rPr>
          <w:rFonts w:ascii="Times New Roman" w:eastAsia="Calibri" w:hAnsi="Times New Roman" w:cs="Times New Roman"/>
          <w:sz w:val="24"/>
          <w:szCs w:val="24"/>
        </w:rPr>
        <w:t xml:space="preserve">that </w:t>
      </w:r>
      <w:r w:rsidR="00083FBB">
        <w:rPr>
          <w:rFonts w:ascii="Times New Roman" w:eastAsia="Calibri" w:hAnsi="Times New Roman" w:cs="Times New Roman"/>
          <w:sz w:val="24"/>
          <w:szCs w:val="24"/>
        </w:rPr>
        <w:t xml:space="preserve">“several members of the Legislature made the decision that it is advantageous </w:t>
      </w:r>
      <w:r w:rsidR="00863CA4">
        <w:rPr>
          <w:rFonts w:ascii="Times New Roman" w:eastAsia="Calibri" w:hAnsi="Times New Roman" w:cs="Times New Roman"/>
          <w:sz w:val="24"/>
          <w:szCs w:val="24"/>
        </w:rPr>
        <w:t>to</w:t>
      </w:r>
      <w:r w:rsidR="00083FBB">
        <w:rPr>
          <w:rFonts w:ascii="Times New Roman" w:eastAsia="Calibri" w:hAnsi="Times New Roman" w:cs="Times New Roman"/>
          <w:sz w:val="24"/>
          <w:szCs w:val="24"/>
        </w:rPr>
        <w:t xml:space="preserve"> their families finances</w:t>
      </w:r>
      <w:r w:rsidR="00863CA4">
        <w:rPr>
          <w:rFonts w:ascii="Times New Roman" w:eastAsia="Calibri" w:hAnsi="Times New Roman" w:cs="Times New Roman"/>
          <w:sz w:val="24"/>
          <w:szCs w:val="24"/>
        </w:rPr>
        <w:t xml:space="preserve"> to return back to NYC and run for City Council</w:t>
      </w:r>
      <w:r w:rsidR="00083FBB">
        <w:rPr>
          <w:rFonts w:ascii="Times New Roman" w:eastAsia="Calibri" w:hAnsi="Times New Roman" w:cs="Times New Roman"/>
          <w:sz w:val="24"/>
          <w:szCs w:val="24"/>
        </w:rPr>
        <w:t>”</w:t>
      </w:r>
      <w:r w:rsidR="00D929E9">
        <w:rPr>
          <w:rFonts w:ascii="Times New Roman" w:eastAsia="Calibri" w:hAnsi="Times New Roman" w:cs="Times New Roman"/>
          <w:sz w:val="24"/>
          <w:szCs w:val="24"/>
        </w:rPr>
        <w:t xml:space="preserve">, such </w:t>
      </w:r>
      <w:r w:rsidR="00D449EF">
        <w:rPr>
          <w:rFonts w:ascii="Times New Roman" w:eastAsia="Calibri" w:hAnsi="Times New Roman" w:cs="Times New Roman"/>
          <w:sz w:val="24"/>
          <w:szCs w:val="24"/>
        </w:rPr>
        <w:t>is</w:t>
      </w:r>
      <w:r w:rsidR="00D929E9">
        <w:rPr>
          <w:rFonts w:ascii="Times New Roman" w:eastAsia="Calibri" w:hAnsi="Times New Roman" w:cs="Times New Roman"/>
          <w:sz w:val="24"/>
          <w:szCs w:val="24"/>
        </w:rPr>
        <w:t xml:space="preserve"> </w:t>
      </w:r>
      <w:r w:rsidR="00D76850">
        <w:rPr>
          <w:rFonts w:ascii="Times New Roman" w:eastAsia="Calibri" w:hAnsi="Times New Roman" w:cs="Times New Roman"/>
          <w:sz w:val="24"/>
          <w:szCs w:val="24"/>
        </w:rPr>
        <w:t>utterly non-probative, as s</w:t>
      </w:r>
      <w:r w:rsidR="00187F84">
        <w:rPr>
          <w:rFonts w:ascii="Times New Roman" w:eastAsia="Calibri" w:hAnsi="Times New Roman" w:cs="Times New Roman"/>
          <w:sz w:val="24"/>
          <w:szCs w:val="24"/>
        </w:rPr>
        <w:t xml:space="preserve">he did not identify who these legislators </w:t>
      </w:r>
      <w:r w:rsidR="00D449EF">
        <w:rPr>
          <w:rFonts w:ascii="Times New Roman" w:eastAsia="Calibri" w:hAnsi="Times New Roman" w:cs="Times New Roman"/>
          <w:sz w:val="24"/>
          <w:szCs w:val="24"/>
        </w:rPr>
        <w:t>are</w:t>
      </w:r>
      <w:r w:rsidR="00187F84">
        <w:rPr>
          <w:rFonts w:ascii="Times New Roman" w:eastAsia="Calibri" w:hAnsi="Times New Roman" w:cs="Times New Roman"/>
          <w:sz w:val="24"/>
          <w:szCs w:val="24"/>
        </w:rPr>
        <w:t xml:space="preserve"> or whether they had</w:t>
      </w:r>
      <w:r w:rsidR="00D76850">
        <w:rPr>
          <w:rFonts w:ascii="Times New Roman" w:eastAsia="Calibri" w:hAnsi="Times New Roman" w:cs="Times New Roman"/>
          <w:sz w:val="24"/>
          <w:szCs w:val="24"/>
        </w:rPr>
        <w:t xml:space="preserve"> ever stated that they were running for Common Council because of the better </w:t>
      </w:r>
      <w:r w:rsidR="00D449EF">
        <w:rPr>
          <w:rFonts w:ascii="Times New Roman" w:eastAsia="Calibri" w:hAnsi="Times New Roman" w:cs="Times New Roman"/>
          <w:sz w:val="24"/>
          <w:szCs w:val="24"/>
        </w:rPr>
        <w:t>salary</w:t>
      </w:r>
      <w:r w:rsidR="00D76850">
        <w:rPr>
          <w:rFonts w:ascii="Times New Roman" w:eastAsia="Calibri" w:hAnsi="Times New Roman" w:cs="Times New Roman"/>
          <w:sz w:val="24"/>
          <w:szCs w:val="24"/>
        </w:rPr>
        <w:t xml:space="preserve"> – or was this merely her surmise</w:t>
      </w:r>
      <w:r w:rsidR="00D929E9">
        <w:rPr>
          <w:rFonts w:ascii="Times New Roman" w:eastAsia="Calibri" w:hAnsi="Times New Roman" w:cs="Times New Roman"/>
          <w:sz w:val="24"/>
          <w:szCs w:val="24"/>
        </w:rPr>
        <w:t xml:space="preserve">.  Nor did she state that there was </w:t>
      </w:r>
      <w:r w:rsidR="00D76850">
        <w:rPr>
          <w:rFonts w:ascii="Times New Roman" w:eastAsia="Calibri" w:hAnsi="Times New Roman" w:cs="Times New Roman"/>
          <w:sz w:val="24"/>
          <w:szCs w:val="24"/>
        </w:rPr>
        <w:t xml:space="preserve">a paucity of candidates </w:t>
      </w:r>
      <w:r w:rsidR="00D929E9">
        <w:rPr>
          <w:rFonts w:ascii="Times New Roman" w:eastAsia="Calibri" w:hAnsi="Times New Roman" w:cs="Times New Roman"/>
          <w:sz w:val="24"/>
          <w:szCs w:val="24"/>
        </w:rPr>
        <w:t xml:space="preserve">vying </w:t>
      </w:r>
      <w:r w:rsidR="00D76850">
        <w:rPr>
          <w:rFonts w:ascii="Times New Roman" w:eastAsia="Calibri" w:hAnsi="Times New Roman" w:cs="Times New Roman"/>
          <w:sz w:val="24"/>
          <w:szCs w:val="24"/>
        </w:rPr>
        <w:t xml:space="preserve">to replace them </w:t>
      </w:r>
      <w:r w:rsidR="00D929E9">
        <w:rPr>
          <w:rFonts w:ascii="Times New Roman" w:eastAsia="Calibri" w:hAnsi="Times New Roman" w:cs="Times New Roman"/>
          <w:sz w:val="24"/>
          <w:szCs w:val="24"/>
        </w:rPr>
        <w:t>or that they were</w:t>
      </w:r>
      <w:r w:rsidR="00D76850">
        <w:rPr>
          <w:rFonts w:ascii="Times New Roman" w:eastAsia="Calibri" w:hAnsi="Times New Roman" w:cs="Times New Roman"/>
          <w:sz w:val="24"/>
          <w:szCs w:val="24"/>
        </w:rPr>
        <w:t xml:space="preserve"> not just as qualified, if not more so.</w:t>
      </w:r>
    </w:p>
    <w:p w14:paraId="61D94E3A" w14:textId="689AFC42" w:rsidR="001133D9" w:rsidRDefault="001133D9" w:rsidP="001E4FCE">
      <w:pPr>
        <w:spacing w:after="0" w:line="240" w:lineRule="auto"/>
        <w:jc w:val="both"/>
        <w:rPr>
          <w:rFonts w:ascii="Times New Roman" w:eastAsia="Calibri" w:hAnsi="Times New Roman" w:cs="Times New Roman"/>
          <w:sz w:val="24"/>
          <w:szCs w:val="24"/>
        </w:rPr>
      </w:pPr>
    </w:p>
    <w:p w14:paraId="01364C86" w14:textId="77777777" w:rsidR="001133D9" w:rsidRDefault="001133D9" w:rsidP="001133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Suffice to note, as well, that neither in this paragraph – or any other – does the Committee give any definition of what constitutes “adequacy” and “adequate” levels”, which are its charge. The record of CJA’s citizen-taxpayer action furnished that definition – the same as CJA had furnished to William Thompson, in his chairmanship of the Commission on Judicial Compensation:</w:t>
      </w:r>
    </w:p>
    <w:p w14:paraId="58F2B50B" w14:textId="77777777" w:rsidR="001133D9" w:rsidRDefault="001133D9" w:rsidP="001133D9">
      <w:pPr>
        <w:widowControl w:val="0"/>
        <w:spacing w:after="0" w:line="240" w:lineRule="auto"/>
        <w:ind w:left="1440" w:right="1440"/>
        <w:jc w:val="both"/>
        <w:rPr>
          <w:rFonts w:ascii="Times New Roman" w:eastAsia="Times New Roman" w:hAnsi="Times New Roman" w:cs="Times New Roman"/>
          <w:snapToGrid w:val="0"/>
          <w:sz w:val="24"/>
          <w:szCs w:val="24"/>
        </w:rPr>
      </w:pPr>
    </w:p>
    <w:p w14:paraId="6F702E9C" w14:textId="7A8E2C42" w:rsidR="001133D9" w:rsidRPr="002C7A70" w:rsidRDefault="001133D9" w:rsidP="001133D9">
      <w:pPr>
        <w:spacing w:after="0" w:line="240" w:lineRule="auto"/>
        <w:ind w:left="1152" w:right="1152"/>
        <w:jc w:val="both"/>
        <w:rPr>
          <w:rFonts w:ascii="Times New Roman" w:eastAsia="Times New Roman" w:hAnsi="Times New Roman" w:cs="Times New Roman"/>
          <w:snapToGrid w:val="0"/>
          <w:sz w:val="24"/>
          <w:szCs w:val="24"/>
        </w:rPr>
      </w:pPr>
      <w:r w:rsidRPr="002C7A70">
        <w:rPr>
          <w:rFonts w:ascii="Times New Roman" w:eastAsia="Times New Roman" w:hAnsi="Times New Roman" w:cs="Times New Roman"/>
          <w:snapToGrid w:val="0"/>
          <w:sz w:val="24"/>
          <w:szCs w:val="24"/>
        </w:rPr>
        <w:t xml:space="preserve"> “‘the judgment as to what level of pay is adequate should be based on whether a reasonable supply of well-qualified attorneys will make themselves available to become or remain judges in the courts concerned.  </w:t>
      </w:r>
      <w:r w:rsidRPr="002C7A70">
        <w:rPr>
          <w:rFonts w:ascii="Times New Roman" w:eastAsia="Times New Roman" w:hAnsi="Times New Roman" w:cs="Times New Roman"/>
          <w:snapToGrid w:val="0"/>
          <w:sz w:val="24"/>
          <w:szCs w:val="24"/>
          <w:u w:val="single"/>
        </w:rPr>
        <w:t>The lowest pay which produces an adequate supply of well-qualified candidates for the various courts is the only pay level which is fair to State taxpayers; any higher pay would require unnecessarily high taxes</w:t>
      </w:r>
      <w:r w:rsidRPr="002C7A70">
        <w:rPr>
          <w:rFonts w:ascii="Times New Roman" w:eastAsia="Times New Roman" w:hAnsi="Times New Roman" w:cs="Times New Roman"/>
          <w:snapToGrid w:val="0"/>
          <w:sz w:val="24"/>
          <w:szCs w:val="24"/>
        </w:rPr>
        <w:t>.’”  (underlining added by CJA’s August 26</w:t>
      </w:r>
      <w:r w:rsidRPr="002C7A70">
        <w:rPr>
          <w:rFonts w:ascii="Times New Roman" w:eastAsia="Times New Roman" w:hAnsi="Times New Roman" w:cs="Times New Roman"/>
          <w:snapToGrid w:val="0"/>
          <w:sz w:val="24"/>
          <w:szCs w:val="24"/>
          <w:vertAlign w:val="superscript"/>
        </w:rPr>
        <w:t>th</w:t>
      </w:r>
      <w:r w:rsidRPr="002C7A70">
        <w:rPr>
          <w:rFonts w:ascii="Times New Roman" w:eastAsia="Times New Roman" w:hAnsi="Times New Roman" w:cs="Times New Roman"/>
          <w:snapToGrid w:val="0"/>
          <w:sz w:val="24"/>
          <w:szCs w:val="24"/>
        </w:rPr>
        <w:t xml:space="preserve"> letter, at p. 4</w:t>
      </w:r>
      <w:r>
        <w:rPr>
          <w:rFonts w:ascii="Times New Roman" w:eastAsia="Times New Roman" w:hAnsi="Times New Roman" w:cs="Times New Roman"/>
          <w:snapToGrid w:val="0"/>
          <w:sz w:val="24"/>
          <w:szCs w:val="24"/>
        </w:rPr>
        <w:t xml:space="preserve">, quoting </w:t>
      </w:r>
      <w:r>
        <w:rPr>
          <w:rFonts w:ascii="Times New Roman" w:eastAsia="Calibri" w:hAnsi="Times New Roman" w:cs="Times New Roman"/>
          <w:sz w:val="24"/>
          <w:szCs w:val="24"/>
        </w:rPr>
        <w:t xml:space="preserve"> from the report of </w:t>
      </w:r>
      <w:r w:rsidRPr="002C7A70">
        <w:rPr>
          <w:rFonts w:ascii="Times New Roman" w:eastAsia="Times New Roman" w:hAnsi="Times New Roman" w:cs="Times New Roman"/>
          <w:sz w:val="24"/>
          <w:szCs w:val="24"/>
        </w:rPr>
        <w:t xml:space="preserve">30 years </w:t>
      </w:r>
      <w:r>
        <w:rPr>
          <w:rFonts w:ascii="Times New Roman" w:eastAsia="Times New Roman" w:hAnsi="Times New Roman" w:cs="Times New Roman"/>
          <w:sz w:val="24"/>
          <w:szCs w:val="24"/>
        </w:rPr>
        <w:t>earlier of</w:t>
      </w:r>
      <w:r w:rsidRPr="002C7A70">
        <w:rPr>
          <w:rFonts w:ascii="Times New Roman" w:eastAsia="Times New Roman" w:hAnsi="Times New Roman" w:cs="Times New Roman"/>
          <w:sz w:val="24"/>
          <w:szCs w:val="24"/>
        </w:rPr>
        <w:t xml:space="preserve"> the </w:t>
      </w:r>
      <w:r w:rsidRPr="002C7A70">
        <w:rPr>
          <w:rFonts w:ascii="Times New Roman" w:eastAsia="Times New Roman" w:hAnsi="Times New Roman" w:cs="Times New Roman"/>
          <w:snapToGrid w:val="0"/>
          <w:sz w:val="24"/>
          <w:szCs w:val="24"/>
        </w:rPr>
        <w:t xml:space="preserve">Temporary State Commission on Judicial Compensation, chaired by William T. </w:t>
      </w:r>
      <w:proofErr w:type="spellStart"/>
      <w:r w:rsidRPr="002C7A70">
        <w:rPr>
          <w:rFonts w:ascii="Times New Roman" w:eastAsia="Times New Roman" w:hAnsi="Times New Roman" w:cs="Times New Roman"/>
          <w:snapToGrid w:val="0"/>
          <w:sz w:val="24"/>
          <w:szCs w:val="24"/>
        </w:rPr>
        <w:t>Dentzer</w:t>
      </w:r>
      <w:proofErr w:type="spellEnd"/>
      <w:r>
        <w:rPr>
          <w:rFonts w:ascii="Times New Roman" w:eastAsia="Times New Roman" w:hAnsi="Times New Roman" w:cs="Times New Roman"/>
          <w:snapToGrid w:val="0"/>
          <w:sz w:val="24"/>
          <w:szCs w:val="24"/>
        </w:rPr>
        <w:t>)</w:t>
      </w:r>
      <w:r w:rsidRPr="002C7A70">
        <w:rPr>
          <w:rFonts w:ascii="Times New Roman" w:eastAsia="Times New Roman" w:hAnsi="Times New Roman" w:cs="Times New Roman"/>
          <w:snapToGrid w:val="0"/>
          <w:sz w:val="24"/>
          <w:szCs w:val="24"/>
        </w:rPr>
        <w:t>.</w:t>
      </w:r>
    </w:p>
    <w:p w14:paraId="3DB9111B" w14:textId="77777777" w:rsidR="001133D9" w:rsidRPr="002C7A70" w:rsidRDefault="001133D9" w:rsidP="001133D9">
      <w:pPr>
        <w:widowControl w:val="0"/>
        <w:spacing w:after="0" w:line="240" w:lineRule="auto"/>
        <w:ind w:left="720" w:right="720"/>
        <w:jc w:val="both"/>
        <w:rPr>
          <w:rFonts w:ascii="Times New Roman" w:eastAsia="Times New Roman" w:hAnsi="Times New Roman" w:cs="Times New Roman"/>
          <w:sz w:val="24"/>
          <w:szCs w:val="24"/>
        </w:rPr>
      </w:pPr>
    </w:p>
    <w:p w14:paraId="3F4694E0" w14:textId="77777777" w:rsidR="008B077F" w:rsidRPr="008B077F" w:rsidRDefault="008B077F" w:rsidP="008B077F">
      <w:pPr>
        <w:ind w:right="720"/>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
          <w:bCs/>
          <w:color w:val="333333"/>
          <w:sz w:val="24"/>
          <w:szCs w:val="24"/>
          <w:u w:val="single"/>
          <w:shd w:val="clear" w:color="auto" w:fill="FFFFFF"/>
        </w:rPr>
        <w:t>Paragraph #7</w:t>
      </w:r>
      <w:r w:rsidRPr="008B077F">
        <w:rPr>
          <w:rFonts w:ascii="Times New Roman" w:eastAsia="Calibri" w:hAnsi="Times New Roman" w:cs="Times New Roman"/>
          <w:bCs/>
          <w:color w:val="333333"/>
          <w:sz w:val="24"/>
          <w:szCs w:val="24"/>
          <w:shd w:val="clear" w:color="auto" w:fill="FFFFFF"/>
        </w:rPr>
        <w:t xml:space="preserve">:  </w:t>
      </w:r>
    </w:p>
    <w:p w14:paraId="11CA3AE8" w14:textId="77777777" w:rsidR="008B077F" w:rsidRPr="008B077F" w:rsidRDefault="008B077F" w:rsidP="00855D10">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“New York’s many agency commissioners likewise do not have many entities to which they can be readily compared given the complexity and scope of their budgets, personnel and missions. However, we analyzed other cities, federal agencies and other states and found that the pay of New York’s agency commissioners was also sorely lagging. For instance: looking at comparison states in the Northeast, as well as larger states like California, Florida and Texas, the highest salaries for agencies such as Health, Transportation, Police, Corrections and Education were all uniformly over $200,000, in many cases closer to $300,000. In many of these categories, New York’s salaries were the lowest of the comparison group.  New York City’s Commissioners earn over $200,000, for talent pool with a ready transition from New York City to the State system, that significant decrease in salary makes it difficult to recruit and retain Commissioners. Further, the stagnant salaries of Commissioners </w:t>
      </w:r>
      <w:proofErr w:type="gramStart"/>
      <w:r w:rsidRPr="008B077F">
        <w:rPr>
          <w:rFonts w:ascii="Times New Roman" w:eastAsia="Calibri" w:hAnsi="Times New Roman" w:cs="Times New Roman"/>
          <w:bCs/>
          <w:color w:val="333333"/>
          <w:sz w:val="24"/>
          <w:szCs w:val="24"/>
          <w:shd w:val="clear" w:color="auto" w:fill="FFFFFF"/>
        </w:rPr>
        <w:t>has</w:t>
      </w:r>
      <w:proofErr w:type="gramEnd"/>
      <w:r w:rsidRPr="008B077F">
        <w:rPr>
          <w:rFonts w:ascii="Times New Roman" w:eastAsia="Calibri" w:hAnsi="Times New Roman" w:cs="Times New Roman"/>
          <w:bCs/>
          <w:color w:val="333333"/>
          <w:sz w:val="24"/>
          <w:szCs w:val="24"/>
          <w:shd w:val="clear" w:color="auto" w:fill="FFFFFF"/>
        </w:rPr>
        <w:t xml:space="preserve"> </w:t>
      </w:r>
      <w:r w:rsidRPr="008B077F">
        <w:rPr>
          <w:rFonts w:ascii="Times New Roman" w:eastAsia="Calibri" w:hAnsi="Times New Roman" w:cs="Times New Roman"/>
          <w:bCs/>
          <w:color w:val="333333"/>
          <w:sz w:val="24"/>
          <w:szCs w:val="24"/>
          <w:shd w:val="clear" w:color="auto" w:fill="FFFFFF"/>
        </w:rPr>
        <w:lastRenderedPageBreak/>
        <w:t>suppressed the salaries of other Executive branch staff, which has also made it difficult to retain talented staff; any increase at the Commissioner level will thus allow for other staff salaries to be increased accordingly. Lastly, the statewide elected officials, the Attorney General, Comptroller,</w:t>
      </w:r>
      <w:r w:rsidRPr="00E10195">
        <w:rPr>
          <w:rFonts w:ascii="Times New Roman" w:eastAsia="Calibri" w:hAnsi="Times New Roman" w:cs="Times New Roman"/>
          <w:bCs/>
          <w:color w:val="333333"/>
          <w:sz w:val="24"/>
          <w:szCs w:val="24"/>
          <w:shd w:val="clear" w:color="auto" w:fill="FFFFFF"/>
          <w:vertAlign w:val="superscript"/>
        </w:rPr>
        <w:t>fn1</w:t>
      </w:r>
      <w:r w:rsidRPr="008B077F">
        <w:rPr>
          <w:rFonts w:ascii="Times New Roman" w:eastAsia="Calibri" w:hAnsi="Times New Roman" w:cs="Times New Roman"/>
          <w:bCs/>
          <w:color w:val="333333"/>
          <w:sz w:val="24"/>
          <w:szCs w:val="24"/>
          <w:shd w:val="clear" w:color="auto" w:fill="FFFFFF"/>
        </w:rPr>
        <w:t xml:space="preserve"> Lieutenant Governor and Governor have seen their collective salaries decline in the face of inflation over the last two decades as well. Other states and major cities have grown these salaries over 50% more than our own statutorily mandated amounts.”</w:t>
      </w:r>
    </w:p>
    <w:p w14:paraId="16428E7B" w14:textId="77777777" w:rsidR="008B077F" w:rsidRPr="008B077F" w:rsidRDefault="008B077F" w:rsidP="008B077F">
      <w:pPr>
        <w:spacing w:after="0" w:line="240" w:lineRule="auto"/>
        <w:ind w:left="720" w:right="720"/>
        <w:jc w:val="both"/>
        <w:rPr>
          <w:rFonts w:ascii="Times New Roman" w:eastAsia="Calibri" w:hAnsi="Times New Roman" w:cs="Times New Roman"/>
          <w:bCs/>
          <w:color w:val="333333"/>
          <w:sz w:val="24"/>
          <w:szCs w:val="24"/>
          <w:shd w:val="clear" w:color="auto" w:fill="FFFFFF"/>
        </w:rPr>
      </w:pPr>
    </w:p>
    <w:p w14:paraId="632F4A2B" w14:textId="3848308E" w:rsidR="00BD539D" w:rsidRDefault="008B077F" w:rsidP="00855D10">
      <w:pPr>
        <w:spacing w:after="0" w:line="240" w:lineRule="auto"/>
        <w:jc w:val="both"/>
        <w:rPr>
          <w:rFonts w:ascii="Times New Roman" w:eastAsia="Calibri" w:hAnsi="Times New Roman" w:cs="Times New Roman"/>
          <w:bCs/>
          <w:color w:val="333333"/>
          <w:sz w:val="24"/>
          <w:szCs w:val="24"/>
          <w:shd w:val="clear" w:color="auto" w:fill="FFFFFF"/>
        </w:rPr>
      </w:pPr>
      <w:r w:rsidRPr="00FB1988">
        <w:rPr>
          <w:rFonts w:ascii="Times New Roman" w:eastAsia="Calibri" w:hAnsi="Times New Roman" w:cs="Times New Roman"/>
          <w:bCs/>
          <w:color w:val="333333"/>
          <w:sz w:val="24"/>
          <w:szCs w:val="24"/>
          <w:shd w:val="clear" w:color="auto" w:fill="FFFFFF"/>
        </w:rPr>
        <w:t xml:space="preserve">This paragraph conceals that a functioning Legislature, following fact-finding hearings by its appropriate committees, should have had no problem in enacting bills amending Executive Law </w:t>
      </w:r>
      <w:bookmarkStart w:id="10" w:name="_Hlk533219972"/>
      <w:r w:rsidR="00FB1988" w:rsidRPr="00FB1988">
        <w:rPr>
          <w:rFonts w:ascii="Times New Roman" w:hAnsi="Times New Roman" w:cs="Times New Roman"/>
          <w:snapToGrid w:val="0"/>
          <w:sz w:val="24"/>
          <w:szCs w:val="24"/>
        </w:rPr>
        <w:t>§</w:t>
      </w:r>
      <w:bookmarkEnd w:id="10"/>
      <w:r w:rsidRPr="00FB1988">
        <w:rPr>
          <w:rFonts w:ascii="Times New Roman" w:eastAsia="Calibri" w:hAnsi="Times New Roman" w:cs="Times New Roman"/>
          <w:bCs/>
          <w:color w:val="333333"/>
          <w:sz w:val="24"/>
          <w:szCs w:val="24"/>
          <w:shd w:val="clear" w:color="auto" w:fill="FFFFFF"/>
        </w:rPr>
        <w:t>169 so as to properly adjust the salaries of appointed commissioners, thereupon signed by the governor – without controversy or political backlash – and especially if existing salaries were making it “difficult to</w:t>
      </w:r>
      <w:r w:rsidRPr="008B077F">
        <w:rPr>
          <w:rFonts w:ascii="Times New Roman" w:eastAsia="Calibri" w:hAnsi="Times New Roman" w:cs="Times New Roman"/>
          <w:bCs/>
          <w:color w:val="333333"/>
          <w:sz w:val="24"/>
          <w:szCs w:val="24"/>
          <w:shd w:val="clear" w:color="auto" w:fill="FFFFFF"/>
        </w:rPr>
        <w:t xml:space="preserve"> recruit and retain Commissioners”.  </w:t>
      </w:r>
    </w:p>
    <w:p w14:paraId="4E1718C3" w14:textId="77777777" w:rsidR="00BD539D" w:rsidRDefault="00BD539D" w:rsidP="00855D10">
      <w:pPr>
        <w:spacing w:after="0" w:line="240" w:lineRule="auto"/>
        <w:jc w:val="both"/>
        <w:rPr>
          <w:rFonts w:ascii="Times New Roman" w:eastAsia="Calibri" w:hAnsi="Times New Roman" w:cs="Times New Roman"/>
          <w:bCs/>
          <w:color w:val="333333"/>
          <w:sz w:val="24"/>
          <w:szCs w:val="24"/>
          <w:shd w:val="clear" w:color="auto" w:fill="FFFFFF"/>
        </w:rPr>
      </w:pPr>
    </w:p>
    <w:p w14:paraId="1260C101" w14:textId="304DAFA5" w:rsidR="008B077F" w:rsidRPr="008B077F" w:rsidRDefault="008B077F" w:rsidP="00855D10">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In any event, the Committee had NO probative evidence that the “significant” differences in salaries for commissioners elsewhere in government, made it “difficult to recruit and retain Commissioners” and that it was “difficult to retain talented staff”.  Neither the Governor, nor anyone from the </w:t>
      </w:r>
      <w:r w:rsidR="001C2D18">
        <w:rPr>
          <w:rFonts w:ascii="Times New Roman" w:eastAsia="Calibri" w:hAnsi="Times New Roman" w:cs="Times New Roman"/>
          <w:bCs/>
          <w:color w:val="333333"/>
          <w:sz w:val="24"/>
          <w:szCs w:val="24"/>
          <w:shd w:val="clear" w:color="auto" w:fill="FFFFFF"/>
        </w:rPr>
        <w:t>E</w:t>
      </w:r>
      <w:r w:rsidRPr="008B077F">
        <w:rPr>
          <w:rFonts w:ascii="Times New Roman" w:eastAsia="Calibri" w:hAnsi="Times New Roman" w:cs="Times New Roman"/>
          <w:bCs/>
          <w:color w:val="333333"/>
          <w:sz w:val="24"/>
          <w:szCs w:val="24"/>
          <w:shd w:val="clear" w:color="auto" w:fill="FFFFFF"/>
        </w:rPr>
        <w:t xml:space="preserve">xecutive </w:t>
      </w:r>
      <w:r w:rsidR="001C2D18">
        <w:rPr>
          <w:rFonts w:ascii="Times New Roman" w:eastAsia="Calibri" w:hAnsi="Times New Roman" w:cs="Times New Roman"/>
          <w:bCs/>
          <w:color w:val="333333"/>
          <w:sz w:val="24"/>
          <w:szCs w:val="24"/>
          <w:shd w:val="clear" w:color="auto" w:fill="FFFFFF"/>
        </w:rPr>
        <w:t>C</w:t>
      </w:r>
      <w:r w:rsidRPr="008B077F">
        <w:rPr>
          <w:rFonts w:ascii="Times New Roman" w:eastAsia="Calibri" w:hAnsi="Times New Roman" w:cs="Times New Roman"/>
          <w:bCs/>
          <w:color w:val="333333"/>
          <w:sz w:val="24"/>
          <w:szCs w:val="24"/>
          <w:shd w:val="clear" w:color="auto" w:fill="FFFFFF"/>
        </w:rPr>
        <w:t>hamber testified or furnished any written statement to the Commi</w:t>
      </w:r>
      <w:r w:rsidR="00E10195">
        <w:rPr>
          <w:rFonts w:ascii="Times New Roman" w:eastAsia="Calibri" w:hAnsi="Times New Roman" w:cs="Times New Roman"/>
          <w:bCs/>
          <w:color w:val="333333"/>
          <w:sz w:val="24"/>
          <w:szCs w:val="24"/>
          <w:shd w:val="clear" w:color="auto" w:fill="FFFFFF"/>
        </w:rPr>
        <w:t>ttee</w:t>
      </w:r>
      <w:r w:rsidRPr="008B077F">
        <w:rPr>
          <w:rFonts w:ascii="Times New Roman" w:eastAsia="Calibri" w:hAnsi="Times New Roman" w:cs="Times New Roman"/>
          <w:bCs/>
          <w:color w:val="333333"/>
          <w:sz w:val="24"/>
          <w:szCs w:val="24"/>
          <w:shd w:val="clear" w:color="auto" w:fill="FFFFFF"/>
        </w:rPr>
        <w:t xml:space="preserve">.  Nor did any commission head testify or submit a statement.  Rather, only a single </w:t>
      </w:r>
      <w:r w:rsidR="001C2D18">
        <w:rPr>
          <w:rFonts w:ascii="Times New Roman" w:eastAsia="Calibri" w:hAnsi="Times New Roman" w:cs="Times New Roman"/>
          <w:bCs/>
          <w:color w:val="333333"/>
          <w:sz w:val="24"/>
          <w:szCs w:val="24"/>
          <w:shd w:val="clear" w:color="auto" w:fill="FFFFFF"/>
        </w:rPr>
        <w:t xml:space="preserve">Executive Law </w:t>
      </w:r>
      <w:r w:rsidR="001C2D18" w:rsidRPr="00FB1988">
        <w:rPr>
          <w:rFonts w:ascii="Times New Roman" w:hAnsi="Times New Roman" w:cs="Times New Roman"/>
          <w:snapToGrid w:val="0"/>
          <w:sz w:val="24"/>
          <w:szCs w:val="24"/>
        </w:rPr>
        <w:t>§</w:t>
      </w:r>
      <w:r w:rsidR="001C2D18">
        <w:rPr>
          <w:rFonts w:ascii="Times New Roman" w:eastAsia="Calibri" w:hAnsi="Times New Roman" w:cs="Times New Roman"/>
          <w:bCs/>
          <w:color w:val="333333"/>
          <w:sz w:val="24"/>
          <w:szCs w:val="24"/>
          <w:shd w:val="clear" w:color="auto" w:fill="FFFFFF"/>
        </w:rPr>
        <w:t xml:space="preserve">169 </w:t>
      </w:r>
      <w:r w:rsidRPr="008B077F">
        <w:rPr>
          <w:rFonts w:ascii="Times New Roman" w:eastAsia="Calibri" w:hAnsi="Times New Roman" w:cs="Times New Roman"/>
          <w:bCs/>
          <w:color w:val="333333"/>
          <w:sz w:val="24"/>
          <w:szCs w:val="24"/>
          <w:shd w:val="clear" w:color="auto" w:fill="FFFFFF"/>
        </w:rPr>
        <w:t>commission</w:t>
      </w:r>
      <w:r w:rsidR="001C2D18">
        <w:rPr>
          <w:rFonts w:ascii="Times New Roman" w:eastAsia="Calibri" w:hAnsi="Times New Roman" w:cs="Times New Roman"/>
          <w:bCs/>
          <w:color w:val="333333"/>
          <w:sz w:val="24"/>
          <w:szCs w:val="24"/>
          <w:shd w:val="clear" w:color="auto" w:fill="FFFFFF"/>
        </w:rPr>
        <w:t xml:space="preserve"> member</w:t>
      </w:r>
      <w:r w:rsidRPr="008B077F">
        <w:rPr>
          <w:rFonts w:ascii="Times New Roman" w:eastAsia="Calibri" w:hAnsi="Times New Roman" w:cs="Times New Roman"/>
          <w:bCs/>
          <w:color w:val="333333"/>
          <w:sz w:val="24"/>
          <w:szCs w:val="24"/>
          <w:shd w:val="clear" w:color="auto" w:fill="FFFFFF"/>
        </w:rPr>
        <w:t xml:space="preserve">, Diane Burman, came forward to testify </w:t>
      </w:r>
      <w:r w:rsidR="0067358E">
        <w:rPr>
          <w:rFonts w:ascii="Times New Roman" w:eastAsia="Calibri" w:hAnsi="Times New Roman" w:cs="Times New Roman"/>
          <w:bCs/>
          <w:color w:val="333333"/>
          <w:sz w:val="24"/>
          <w:szCs w:val="24"/>
          <w:shd w:val="clear" w:color="auto" w:fill="FFFFFF"/>
        </w:rPr>
        <w:t xml:space="preserve"> -- and her testimony did not substantiate recruitment and retention difficulty inasmuch as </w:t>
      </w:r>
      <w:r w:rsidRPr="008B077F">
        <w:rPr>
          <w:rFonts w:ascii="Times New Roman" w:eastAsia="Calibri" w:hAnsi="Times New Roman" w:cs="Times New Roman"/>
          <w:bCs/>
          <w:color w:val="333333"/>
          <w:sz w:val="24"/>
          <w:szCs w:val="24"/>
          <w:shd w:val="clear" w:color="auto" w:fill="FFFFFF"/>
        </w:rPr>
        <w:t xml:space="preserve">she </w:t>
      </w:r>
      <w:r w:rsidR="0067358E">
        <w:rPr>
          <w:rFonts w:ascii="Times New Roman" w:eastAsia="Calibri" w:hAnsi="Times New Roman" w:cs="Times New Roman"/>
          <w:bCs/>
          <w:color w:val="333333"/>
          <w:sz w:val="24"/>
          <w:szCs w:val="24"/>
          <w:shd w:val="clear" w:color="auto" w:fill="FFFFFF"/>
        </w:rPr>
        <w:t xml:space="preserve">stated that she </w:t>
      </w:r>
      <w:r w:rsidRPr="008B077F">
        <w:rPr>
          <w:rFonts w:ascii="Times New Roman" w:eastAsia="Calibri" w:hAnsi="Times New Roman" w:cs="Times New Roman"/>
          <w:bCs/>
          <w:color w:val="333333"/>
          <w:sz w:val="24"/>
          <w:szCs w:val="24"/>
          <w:shd w:val="clear" w:color="auto" w:fill="FFFFFF"/>
        </w:rPr>
        <w:t xml:space="preserve">had taken “an over $30,000 pay cut” from the position she had held as Senate majority counsel, in order to serve on the Public Service Commission, which she termed her “dream job”.  According to her, she was testifying “not about the money”, but about “fairness”.   </w:t>
      </w:r>
    </w:p>
    <w:p w14:paraId="633976DE" w14:textId="77777777" w:rsidR="00855D10" w:rsidRDefault="00855D10" w:rsidP="00855D10">
      <w:pPr>
        <w:spacing w:after="0" w:line="240" w:lineRule="auto"/>
        <w:ind w:firstLine="720"/>
        <w:jc w:val="both"/>
        <w:rPr>
          <w:rFonts w:ascii="Times New Roman" w:eastAsia="Calibri" w:hAnsi="Times New Roman" w:cs="Times New Roman"/>
          <w:bCs/>
          <w:color w:val="333333"/>
          <w:sz w:val="24"/>
          <w:szCs w:val="24"/>
          <w:shd w:val="clear" w:color="auto" w:fill="FFFFFF"/>
        </w:rPr>
      </w:pPr>
    </w:p>
    <w:p w14:paraId="24D8FF4F" w14:textId="13F86C29" w:rsidR="008B077F" w:rsidRDefault="008B077F" w:rsidP="00855D10">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Nor was there any probative evidence before the Committee from the “statewide elected officials, the Attorney General, Comptroller, Lieutenant Governor and Governor” that they viewed themselves as facing hardship because of the decrease in their salaries resulting from inflation.  </w:t>
      </w:r>
      <w:r w:rsidR="00B5471E">
        <w:rPr>
          <w:rFonts w:ascii="Times New Roman" w:eastAsia="Calibri" w:hAnsi="Times New Roman" w:cs="Times New Roman"/>
          <w:bCs/>
          <w:color w:val="333333"/>
          <w:sz w:val="24"/>
          <w:szCs w:val="24"/>
          <w:shd w:val="clear" w:color="auto" w:fill="FFFFFF"/>
        </w:rPr>
        <w:t xml:space="preserve">To the contrary, </w:t>
      </w:r>
      <w:r w:rsidRPr="008B077F">
        <w:rPr>
          <w:rFonts w:ascii="Times New Roman" w:eastAsia="Calibri" w:hAnsi="Times New Roman" w:cs="Times New Roman"/>
          <w:bCs/>
          <w:color w:val="333333"/>
          <w:sz w:val="24"/>
          <w:szCs w:val="24"/>
          <w:shd w:val="clear" w:color="auto" w:fill="FFFFFF"/>
        </w:rPr>
        <w:t xml:space="preserve">the </w:t>
      </w:r>
      <w:r w:rsidR="00B5471E">
        <w:rPr>
          <w:rFonts w:ascii="Times New Roman" w:eastAsia="Calibri" w:hAnsi="Times New Roman" w:cs="Times New Roman"/>
          <w:bCs/>
          <w:color w:val="333333"/>
          <w:sz w:val="24"/>
          <w:szCs w:val="24"/>
          <w:shd w:val="clear" w:color="auto" w:fill="FFFFFF"/>
        </w:rPr>
        <w:t xml:space="preserve">current </w:t>
      </w:r>
      <w:r w:rsidRPr="008B077F">
        <w:rPr>
          <w:rFonts w:ascii="Times New Roman" w:eastAsia="Calibri" w:hAnsi="Times New Roman" w:cs="Times New Roman"/>
          <w:bCs/>
          <w:color w:val="333333"/>
          <w:sz w:val="24"/>
          <w:szCs w:val="24"/>
          <w:shd w:val="clear" w:color="auto" w:fill="FFFFFF"/>
        </w:rPr>
        <w:t>salar</w:t>
      </w:r>
      <w:r w:rsidR="00B5471E">
        <w:rPr>
          <w:rFonts w:ascii="Times New Roman" w:eastAsia="Calibri" w:hAnsi="Times New Roman" w:cs="Times New Roman"/>
          <w:bCs/>
          <w:color w:val="333333"/>
          <w:sz w:val="24"/>
          <w:szCs w:val="24"/>
          <w:shd w:val="clear" w:color="auto" w:fill="FFFFFF"/>
        </w:rPr>
        <w:t>ies are</w:t>
      </w:r>
      <w:r w:rsidRPr="008B077F">
        <w:rPr>
          <w:rFonts w:ascii="Times New Roman" w:eastAsia="Calibri" w:hAnsi="Times New Roman" w:cs="Times New Roman"/>
          <w:bCs/>
          <w:color w:val="333333"/>
          <w:sz w:val="24"/>
          <w:szCs w:val="24"/>
          <w:shd w:val="clear" w:color="auto" w:fill="FFFFFF"/>
        </w:rPr>
        <w:t xml:space="preserve"> not so deplorable that they had not battled for re-election – facing candidates who themselves would be taking substantial pay cuts were they to win election.</w:t>
      </w:r>
    </w:p>
    <w:p w14:paraId="34339AB1" w14:textId="77777777" w:rsidR="00855D10" w:rsidRPr="008B077F" w:rsidRDefault="00855D10" w:rsidP="00855D10">
      <w:pPr>
        <w:spacing w:after="0" w:line="240" w:lineRule="auto"/>
        <w:jc w:val="both"/>
        <w:rPr>
          <w:rFonts w:ascii="Times New Roman" w:eastAsia="Calibri" w:hAnsi="Times New Roman" w:cs="Times New Roman"/>
          <w:bCs/>
          <w:color w:val="333333"/>
          <w:sz w:val="24"/>
          <w:szCs w:val="24"/>
          <w:shd w:val="clear" w:color="auto" w:fill="FFFFFF"/>
        </w:rPr>
      </w:pPr>
    </w:p>
    <w:p w14:paraId="33C7392A" w14:textId="2FB6F9D5" w:rsidR="008B077F" w:rsidRPr="00DA0B02" w:rsidRDefault="008B077F" w:rsidP="008B077F">
      <w:pPr>
        <w:ind w:right="1440"/>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
          <w:bCs/>
          <w:color w:val="333333"/>
          <w:sz w:val="24"/>
          <w:szCs w:val="24"/>
          <w:u w:val="single"/>
          <w:shd w:val="clear" w:color="auto" w:fill="FFFFFF"/>
        </w:rPr>
        <w:t>Paragraph #8</w:t>
      </w:r>
      <w:r w:rsidRPr="00DA0B02">
        <w:rPr>
          <w:rFonts w:ascii="Times New Roman" w:eastAsia="Calibri" w:hAnsi="Times New Roman" w:cs="Times New Roman"/>
          <w:bCs/>
          <w:color w:val="333333"/>
          <w:sz w:val="24"/>
          <w:szCs w:val="24"/>
          <w:shd w:val="clear" w:color="auto" w:fill="FFFFFF"/>
        </w:rPr>
        <w:t>:</w:t>
      </w:r>
    </w:p>
    <w:p w14:paraId="7CE8D453" w14:textId="77777777" w:rsidR="008B077F" w:rsidRPr="008B077F" w:rsidRDefault="008B077F" w:rsidP="00855D10">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“Consideration of private sector wage growth over the same two decades reinforces that there must be an increase. The Committee analyzed salary data for, among others, lawyers, including lawyers working in private practice and the public sector throughout New York State, executives in the non-profit sector, professionals in academia and public education, and government officials in New York City. While public service should never strive to compete solely with the private sector, it is instructive and helpful to understand to properly place our public officials in context of the broader labor market in which the State competes for talented individuals.”  </w:t>
      </w:r>
    </w:p>
    <w:p w14:paraId="0B266CB7" w14:textId="77777777" w:rsidR="008B077F" w:rsidRPr="008B077F" w:rsidRDefault="008B077F" w:rsidP="008B077F">
      <w:pPr>
        <w:spacing w:after="0" w:line="240" w:lineRule="auto"/>
        <w:ind w:left="720" w:right="720"/>
        <w:jc w:val="both"/>
        <w:rPr>
          <w:rFonts w:ascii="Times New Roman" w:eastAsia="Calibri" w:hAnsi="Times New Roman" w:cs="Times New Roman"/>
          <w:bCs/>
          <w:color w:val="333333"/>
          <w:sz w:val="24"/>
          <w:szCs w:val="24"/>
          <w:shd w:val="clear" w:color="auto" w:fill="FFFFFF"/>
        </w:rPr>
      </w:pPr>
    </w:p>
    <w:p w14:paraId="5C2565FF" w14:textId="29DE2482" w:rsidR="008B077F" w:rsidRDefault="008B077F" w:rsidP="00855D10">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This paragraph is insufficient for any finding that “there must be an increase”, as</w:t>
      </w:r>
      <w:r w:rsidR="003E6D76">
        <w:rPr>
          <w:rFonts w:ascii="Times New Roman" w:eastAsia="Calibri" w:hAnsi="Times New Roman" w:cs="Times New Roman"/>
          <w:bCs/>
          <w:color w:val="333333"/>
          <w:sz w:val="24"/>
          <w:szCs w:val="24"/>
          <w:shd w:val="clear" w:color="auto" w:fill="FFFFFF"/>
        </w:rPr>
        <w:t xml:space="preserve"> </w:t>
      </w:r>
      <w:r w:rsidRPr="008B077F">
        <w:rPr>
          <w:rFonts w:ascii="Times New Roman" w:eastAsia="Calibri" w:hAnsi="Times New Roman" w:cs="Times New Roman"/>
          <w:bCs/>
          <w:color w:val="333333"/>
          <w:sz w:val="24"/>
          <w:szCs w:val="24"/>
          <w:shd w:val="clear" w:color="auto" w:fill="FFFFFF"/>
        </w:rPr>
        <w:t xml:space="preserve">“salary data” is only a component of the larger examination the Committee was required to undertake.  Indeed, </w:t>
      </w:r>
      <w:r w:rsidR="00A049D8">
        <w:rPr>
          <w:rFonts w:ascii="Times New Roman" w:eastAsia="Calibri" w:hAnsi="Times New Roman" w:cs="Times New Roman"/>
          <w:bCs/>
          <w:color w:val="333333"/>
          <w:sz w:val="24"/>
          <w:szCs w:val="24"/>
          <w:shd w:val="clear" w:color="auto" w:fill="FFFFFF"/>
        </w:rPr>
        <w:lastRenderedPageBreak/>
        <w:t xml:space="preserve">none of </w:t>
      </w:r>
      <w:r w:rsidRPr="008B077F">
        <w:rPr>
          <w:rFonts w:ascii="Times New Roman" w:eastAsia="Calibri" w:hAnsi="Times New Roman" w:cs="Times New Roman"/>
          <w:bCs/>
          <w:color w:val="333333"/>
          <w:sz w:val="24"/>
          <w:szCs w:val="24"/>
          <w:shd w:val="clear" w:color="auto" w:fill="FFFFFF"/>
        </w:rPr>
        <w:t xml:space="preserve">the “appropriate factors” that the Committee was mandated to “take into account” </w:t>
      </w:r>
      <w:r w:rsidR="00A049D8">
        <w:rPr>
          <w:rFonts w:ascii="Times New Roman" w:eastAsia="Calibri" w:hAnsi="Times New Roman" w:cs="Times New Roman"/>
          <w:bCs/>
          <w:color w:val="333333"/>
          <w:sz w:val="24"/>
          <w:szCs w:val="24"/>
          <w:shd w:val="clear" w:color="auto" w:fill="FFFFFF"/>
        </w:rPr>
        <w:t xml:space="preserve">pertained to </w:t>
      </w:r>
      <w:r w:rsidRPr="008B077F">
        <w:rPr>
          <w:rFonts w:ascii="Times New Roman" w:eastAsia="Calibri" w:hAnsi="Times New Roman" w:cs="Times New Roman"/>
          <w:bCs/>
          <w:color w:val="333333"/>
          <w:sz w:val="24"/>
          <w:szCs w:val="24"/>
          <w:shd w:val="clear" w:color="auto" w:fill="FFFFFF"/>
        </w:rPr>
        <w:t>salar</w:t>
      </w:r>
      <w:r w:rsidR="001C2D18">
        <w:rPr>
          <w:rFonts w:ascii="Times New Roman" w:eastAsia="Calibri" w:hAnsi="Times New Roman" w:cs="Times New Roman"/>
          <w:bCs/>
          <w:color w:val="333333"/>
          <w:sz w:val="24"/>
          <w:szCs w:val="24"/>
          <w:shd w:val="clear" w:color="auto" w:fill="FFFFFF"/>
        </w:rPr>
        <w:t>y alone</w:t>
      </w:r>
      <w:r w:rsidRPr="008B077F">
        <w:rPr>
          <w:rFonts w:ascii="Times New Roman" w:eastAsia="Calibri" w:hAnsi="Times New Roman" w:cs="Times New Roman"/>
          <w:bCs/>
          <w:color w:val="333333"/>
          <w:sz w:val="24"/>
          <w:szCs w:val="24"/>
          <w:shd w:val="clear" w:color="auto" w:fill="FFFFFF"/>
        </w:rPr>
        <w:t xml:space="preserve">, but, for instance: “the levels of compensation and non-salary benefits received by executive branch officials and legislators of other states and of the federal government”; and “the levels of compensation and non-salary benefits received by comparable professionals in government, academia and private and nonprofit enterprise”.   Moreover, no comparison is remotely possible to  the “private sector” – where salaries may be the highest anywhere – because in the “private sector” employees who do not do their job are booted out, not – as in New York State government – able to </w:t>
      </w:r>
      <w:r w:rsidR="00E10195">
        <w:rPr>
          <w:rFonts w:ascii="Times New Roman" w:eastAsia="Calibri" w:hAnsi="Times New Roman" w:cs="Times New Roman"/>
          <w:bCs/>
          <w:color w:val="333333"/>
          <w:sz w:val="24"/>
          <w:szCs w:val="24"/>
          <w:shd w:val="clear" w:color="auto" w:fill="FFFFFF"/>
        </w:rPr>
        <w:t xml:space="preserve">remain </w:t>
      </w:r>
      <w:r w:rsidRPr="008B077F">
        <w:rPr>
          <w:rFonts w:ascii="Times New Roman" w:eastAsia="Calibri" w:hAnsi="Times New Roman" w:cs="Times New Roman"/>
          <w:bCs/>
          <w:color w:val="333333"/>
          <w:sz w:val="24"/>
          <w:szCs w:val="24"/>
          <w:shd w:val="clear" w:color="auto" w:fill="FFFFFF"/>
        </w:rPr>
        <w:t>in a job they are NOT doing – because ALL oversight and removal safeguards have been rendered non-functional.</w:t>
      </w:r>
    </w:p>
    <w:p w14:paraId="5BDF4840" w14:textId="77777777" w:rsidR="00855D10" w:rsidRPr="008B077F" w:rsidRDefault="00855D10" w:rsidP="00855D10">
      <w:pPr>
        <w:spacing w:after="0" w:line="240" w:lineRule="auto"/>
        <w:jc w:val="both"/>
        <w:rPr>
          <w:rFonts w:ascii="Times New Roman" w:eastAsia="Calibri" w:hAnsi="Times New Roman" w:cs="Times New Roman"/>
          <w:bCs/>
          <w:color w:val="333333"/>
          <w:sz w:val="24"/>
          <w:szCs w:val="24"/>
          <w:shd w:val="clear" w:color="auto" w:fill="FFFFFF"/>
        </w:rPr>
      </w:pPr>
    </w:p>
    <w:p w14:paraId="21C6C659" w14:textId="58A90243" w:rsidR="008B077F" w:rsidRPr="008B077F" w:rsidRDefault="008B077F" w:rsidP="008B077F">
      <w:pPr>
        <w:ind w:right="720"/>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
          <w:bCs/>
          <w:color w:val="333333"/>
          <w:sz w:val="24"/>
          <w:szCs w:val="24"/>
          <w:u w:val="single"/>
          <w:shd w:val="clear" w:color="auto" w:fill="FFFFFF"/>
        </w:rPr>
        <w:t>Paragraph #9</w:t>
      </w:r>
      <w:r w:rsidRPr="008B077F">
        <w:rPr>
          <w:rFonts w:ascii="Times New Roman" w:eastAsia="Calibri" w:hAnsi="Times New Roman" w:cs="Times New Roman"/>
          <w:bCs/>
          <w:color w:val="333333"/>
          <w:sz w:val="24"/>
          <w:szCs w:val="24"/>
          <w:shd w:val="clear" w:color="auto" w:fill="FFFFFF"/>
        </w:rPr>
        <w:t>:</w:t>
      </w:r>
    </w:p>
    <w:p w14:paraId="61B40E96" w14:textId="77777777" w:rsidR="008B077F" w:rsidRPr="008B077F" w:rsidRDefault="008B077F" w:rsidP="00855D10">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“New York State is in relatively strong fiscal condition at the present time, inasmuch as the Governor and Legislature have controlled increases in spending. While deficits are projected for the coming fiscal year, continued restraints on spending will manage such deficits. The projected additional cost to the State for the first phase of the Committee’s recommendations can be managed within existing budgets, making this increase affordable as it represents less than 5 one-thousands of 1 percent of all state funds spending (0.0048%).” </w:t>
      </w:r>
    </w:p>
    <w:p w14:paraId="53A06A8E" w14:textId="77777777" w:rsidR="008B077F" w:rsidRPr="008B077F" w:rsidRDefault="008B077F" w:rsidP="008B077F">
      <w:pPr>
        <w:spacing w:after="0" w:line="240" w:lineRule="auto"/>
        <w:ind w:left="720" w:right="720"/>
        <w:jc w:val="both"/>
        <w:rPr>
          <w:rFonts w:ascii="Times New Roman" w:eastAsia="Calibri" w:hAnsi="Times New Roman" w:cs="Times New Roman"/>
          <w:bCs/>
          <w:color w:val="333333"/>
          <w:sz w:val="24"/>
          <w:szCs w:val="24"/>
          <w:shd w:val="clear" w:color="auto" w:fill="FFFFFF"/>
        </w:rPr>
      </w:pPr>
    </w:p>
    <w:p w14:paraId="20B90328" w14:textId="77777777" w:rsidR="00E10195" w:rsidRDefault="008B077F" w:rsidP="007F097B">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The</w:t>
      </w:r>
      <w:r w:rsidR="00A049D8">
        <w:rPr>
          <w:rFonts w:ascii="Times New Roman" w:eastAsia="Calibri" w:hAnsi="Times New Roman" w:cs="Times New Roman"/>
          <w:bCs/>
          <w:color w:val="333333"/>
          <w:sz w:val="24"/>
          <w:szCs w:val="24"/>
          <w:shd w:val="clear" w:color="auto" w:fill="FFFFFF"/>
        </w:rPr>
        <w:t xml:space="preserve"> paragraph is devoid of any citation </w:t>
      </w:r>
      <w:r w:rsidRPr="008B077F">
        <w:rPr>
          <w:rFonts w:ascii="Times New Roman" w:eastAsia="Calibri" w:hAnsi="Times New Roman" w:cs="Times New Roman"/>
          <w:bCs/>
          <w:color w:val="333333"/>
          <w:sz w:val="24"/>
          <w:szCs w:val="24"/>
          <w:shd w:val="clear" w:color="auto" w:fill="FFFFFF"/>
        </w:rPr>
        <w:t xml:space="preserve">to support its bald statement about New York’s “strong fiscal position” or its claim that it results from “the Governor and Legislature </w:t>
      </w:r>
      <w:proofErr w:type="spellStart"/>
      <w:r w:rsidRPr="008B077F">
        <w:rPr>
          <w:rFonts w:ascii="Times New Roman" w:eastAsia="Calibri" w:hAnsi="Times New Roman" w:cs="Times New Roman"/>
          <w:bCs/>
          <w:color w:val="333333"/>
          <w:sz w:val="24"/>
          <w:szCs w:val="24"/>
          <w:shd w:val="clear" w:color="auto" w:fill="FFFFFF"/>
        </w:rPr>
        <w:t>hav</w:t>
      </w:r>
      <w:proofErr w:type="spellEnd"/>
      <w:r w:rsidRPr="008B077F">
        <w:rPr>
          <w:rFonts w:ascii="Times New Roman" w:eastAsia="Calibri" w:hAnsi="Times New Roman" w:cs="Times New Roman"/>
          <w:bCs/>
          <w:color w:val="333333"/>
          <w:sz w:val="24"/>
          <w:szCs w:val="24"/>
          <w:shd w:val="clear" w:color="auto" w:fill="FFFFFF"/>
        </w:rPr>
        <w:t>[</w:t>
      </w:r>
      <w:proofErr w:type="spellStart"/>
      <w:r w:rsidRPr="008B077F">
        <w:rPr>
          <w:rFonts w:ascii="Times New Roman" w:eastAsia="Calibri" w:hAnsi="Times New Roman" w:cs="Times New Roman"/>
          <w:bCs/>
          <w:color w:val="333333"/>
          <w:sz w:val="24"/>
          <w:szCs w:val="24"/>
          <w:shd w:val="clear" w:color="auto" w:fill="FFFFFF"/>
        </w:rPr>
        <w:t>ing</w:t>
      </w:r>
      <w:proofErr w:type="spellEnd"/>
      <w:r w:rsidRPr="008B077F">
        <w:rPr>
          <w:rFonts w:ascii="Times New Roman" w:eastAsia="Calibri" w:hAnsi="Times New Roman" w:cs="Times New Roman"/>
          <w:bCs/>
          <w:color w:val="333333"/>
          <w:sz w:val="24"/>
          <w:szCs w:val="24"/>
          <w:shd w:val="clear" w:color="auto" w:fill="FFFFFF"/>
        </w:rPr>
        <w:t>] controlled increases in spending” – and this view is not consistent with the views of Republican legislators, expressed in connection with the budget</w:t>
      </w:r>
      <w:r w:rsidR="00E10195">
        <w:rPr>
          <w:rFonts w:ascii="Times New Roman" w:eastAsia="Calibri" w:hAnsi="Times New Roman" w:cs="Times New Roman"/>
          <w:bCs/>
          <w:color w:val="333333"/>
          <w:sz w:val="24"/>
          <w:szCs w:val="24"/>
          <w:shd w:val="clear" w:color="auto" w:fill="FFFFFF"/>
        </w:rPr>
        <w:t>.</w:t>
      </w:r>
    </w:p>
    <w:p w14:paraId="4C24B02A" w14:textId="6B1BB343" w:rsidR="008B077F" w:rsidRPr="008B077F" w:rsidRDefault="008B077F" w:rsidP="007F097B">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 </w:t>
      </w:r>
    </w:p>
    <w:p w14:paraId="36870849" w14:textId="459AF09D" w:rsidR="008B077F" w:rsidRPr="008B077F" w:rsidRDefault="008B077F" w:rsidP="00BD539D">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That the governor and legislature have created a </w:t>
      </w:r>
      <w:r w:rsidR="00871DC9">
        <w:rPr>
          <w:rFonts w:ascii="Times New Roman" w:eastAsia="Calibri" w:hAnsi="Times New Roman" w:cs="Times New Roman"/>
          <w:bCs/>
          <w:color w:val="333333"/>
          <w:sz w:val="24"/>
          <w:szCs w:val="24"/>
          <w:shd w:val="clear" w:color="auto" w:fill="FFFFFF"/>
        </w:rPr>
        <w:t xml:space="preserve">$160 billion </w:t>
      </w:r>
      <w:r w:rsidRPr="008B077F">
        <w:rPr>
          <w:rFonts w:ascii="Times New Roman" w:eastAsia="Calibri" w:hAnsi="Times New Roman" w:cs="Times New Roman"/>
          <w:bCs/>
          <w:color w:val="333333"/>
          <w:sz w:val="24"/>
          <w:szCs w:val="24"/>
          <w:shd w:val="clear" w:color="auto" w:fill="FFFFFF"/>
        </w:rPr>
        <w:t>“slush fund”</w:t>
      </w:r>
      <w:r w:rsidR="00871DC9">
        <w:rPr>
          <w:rFonts w:ascii="Times New Roman" w:eastAsia="Calibri" w:hAnsi="Times New Roman" w:cs="Times New Roman"/>
          <w:bCs/>
          <w:color w:val="333333"/>
          <w:sz w:val="24"/>
          <w:szCs w:val="24"/>
          <w:shd w:val="clear" w:color="auto" w:fill="FFFFFF"/>
        </w:rPr>
        <w:t xml:space="preserve"> budget</w:t>
      </w:r>
      <w:r w:rsidRPr="008B077F">
        <w:rPr>
          <w:rFonts w:ascii="Times New Roman" w:eastAsia="Calibri" w:hAnsi="Times New Roman" w:cs="Times New Roman"/>
          <w:bCs/>
          <w:color w:val="333333"/>
          <w:sz w:val="24"/>
          <w:szCs w:val="24"/>
          <w:shd w:val="clear" w:color="auto" w:fill="FFFFFF"/>
        </w:rPr>
        <w:t>, profligate with taxpayer monies</w:t>
      </w:r>
      <w:r w:rsidR="00871DC9">
        <w:rPr>
          <w:rFonts w:ascii="Times New Roman" w:eastAsia="Calibri" w:hAnsi="Times New Roman" w:cs="Times New Roman"/>
          <w:bCs/>
          <w:color w:val="333333"/>
          <w:sz w:val="24"/>
          <w:szCs w:val="24"/>
          <w:shd w:val="clear" w:color="auto" w:fill="FFFFFF"/>
        </w:rPr>
        <w:t xml:space="preserve"> and perpetuating</w:t>
      </w:r>
      <w:r w:rsidRPr="008B077F">
        <w:rPr>
          <w:rFonts w:ascii="Times New Roman" w:eastAsia="Calibri" w:hAnsi="Times New Roman" w:cs="Times New Roman"/>
          <w:bCs/>
          <w:color w:val="333333"/>
          <w:sz w:val="24"/>
          <w:szCs w:val="24"/>
          <w:shd w:val="clear" w:color="auto" w:fill="FFFFFF"/>
        </w:rPr>
        <w:t xml:space="preserve"> government corruption, is </w:t>
      </w:r>
      <w:r w:rsidR="00A049D8">
        <w:rPr>
          <w:rFonts w:ascii="Times New Roman" w:eastAsia="Calibri" w:hAnsi="Times New Roman" w:cs="Times New Roman"/>
          <w:bCs/>
          <w:color w:val="333333"/>
          <w:sz w:val="24"/>
          <w:szCs w:val="24"/>
          <w:shd w:val="clear" w:color="auto" w:fill="FFFFFF"/>
        </w:rPr>
        <w:t>demonstrated by the s</w:t>
      </w:r>
      <w:r w:rsidRPr="008B077F">
        <w:rPr>
          <w:rFonts w:ascii="Times New Roman" w:eastAsia="Calibri" w:hAnsi="Times New Roman" w:cs="Times New Roman"/>
          <w:bCs/>
          <w:color w:val="333333"/>
          <w:sz w:val="24"/>
          <w:szCs w:val="24"/>
          <w:shd w:val="clear" w:color="auto" w:fill="FFFFFF"/>
        </w:rPr>
        <w:t xml:space="preserve">econd citizen taxpayer action – and </w:t>
      </w:r>
      <w:r w:rsidR="00E10195">
        <w:rPr>
          <w:rFonts w:ascii="Times New Roman" w:eastAsia="Calibri" w:hAnsi="Times New Roman" w:cs="Times New Roman"/>
          <w:bCs/>
          <w:color w:val="333333"/>
          <w:sz w:val="24"/>
          <w:szCs w:val="24"/>
          <w:shd w:val="clear" w:color="auto" w:fill="FFFFFF"/>
        </w:rPr>
        <w:t xml:space="preserve">by </w:t>
      </w:r>
      <w:r w:rsidR="001C2D18">
        <w:rPr>
          <w:rFonts w:ascii="Times New Roman" w:eastAsia="Calibri" w:hAnsi="Times New Roman" w:cs="Times New Roman"/>
          <w:bCs/>
          <w:color w:val="333333"/>
          <w:sz w:val="24"/>
          <w:szCs w:val="24"/>
          <w:shd w:val="clear" w:color="auto" w:fill="FFFFFF"/>
        </w:rPr>
        <w:t>CJA director</w:t>
      </w:r>
      <w:r w:rsidR="00E10195">
        <w:rPr>
          <w:rFonts w:ascii="Times New Roman" w:eastAsia="Calibri" w:hAnsi="Times New Roman" w:cs="Times New Roman"/>
          <w:bCs/>
          <w:color w:val="333333"/>
          <w:sz w:val="24"/>
          <w:szCs w:val="24"/>
          <w:shd w:val="clear" w:color="auto" w:fill="FFFFFF"/>
        </w:rPr>
        <w:t xml:space="preserve"> </w:t>
      </w:r>
      <w:proofErr w:type="spellStart"/>
      <w:r w:rsidRPr="008B077F">
        <w:rPr>
          <w:rFonts w:ascii="Times New Roman" w:eastAsia="Calibri" w:hAnsi="Times New Roman" w:cs="Times New Roman"/>
          <w:bCs/>
          <w:color w:val="333333"/>
          <w:sz w:val="24"/>
          <w:szCs w:val="24"/>
          <w:shd w:val="clear" w:color="auto" w:fill="FFFFFF"/>
        </w:rPr>
        <w:t>Sassower’s</w:t>
      </w:r>
      <w:proofErr w:type="spellEnd"/>
      <w:r w:rsidRPr="008B077F">
        <w:rPr>
          <w:rFonts w:ascii="Times New Roman" w:eastAsia="Calibri" w:hAnsi="Times New Roman" w:cs="Times New Roman"/>
          <w:bCs/>
          <w:color w:val="333333"/>
          <w:sz w:val="24"/>
          <w:szCs w:val="24"/>
          <w:shd w:val="clear" w:color="auto" w:fill="FFFFFF"/>
        </w:rPr>
        <w:t xml:space="preserve"> testimony at the Legislature’s budget hearings for fiscal year 2018-2019</w:t>
      </w:r>
      <w:r w:rsidR="00E10195">
        <w:rPr>
          <w:rFonts w:ascii="Times New Roman" w:eastAsia="Calibri" w:hAnsi="Times New Roman" w:cs="Times New Roman"/>
          <w:bCs/>
          <w:color w:val="333333"/>
          <w:sz w:val="24"/>
          <w:szCs w:val="24"/>
          <w:shd w:val="clear" w:color="auto" w:fill="FFFFFF"/>
        </w:rPr>
        <w:t>, to which she referred at the Committee’s November 30, 2018 hearing</w:t>
      </w:r>
      <w:r w:rsidRPr="008B077F">
        <w:rPr>
          <w:rFonts w:ascii="Times New Roman" w:eastAsia="Calibri" w:hAnsi="Times New Roman" w:cs="Times New Roman"/>
          <w:bCs/>
          <w:color w:val="333333"/>
          <w:sz w:val="24"/>
          <w:szCs w:val="24"/>
          <w:shd w:val="clear" w:color="auto" w:fill="FFFFFF"/>
        </w:rPr>
        <w:t xml:space="preserve">.  </w:t>
      </w:r>
    </w:p>
    <w:p w14:paraId="19FB44C3" w14:textId="77777777" w:rsidR="00BD539D" w:rsidRDefault="00BD539D" w:rsidP="00BD539D">
      <w:pPr>
        <w:spacing w:after="0" w:line="240" w:lineRule="auto"/>
        <w:jc w:val="both"/>
        <w:rPr>
          <w:rFonts w:ascii="Times New Roman" w:eastAsia="Calibri" w:hAnsi="Times New Roman" w:cs="Times New Roman"/>
          <w:bCs/>
          <w:color w:val="333333"/>
          <w:sz w:val="24"/>
          <w:szCs w:val="24"/>
          <w:shd w:val="clear" w:color="auto" w:fill="FFFFFF"/>
        </w:rPr>
      </w:pPr>
    </w:p>
    <w:p w14:paraId="7555A7DE" w14:textId="321B4C2E" w:rsidR="008B077F" w:rsidRDefault="008B077F" w:rsidP="00BD539D">
      <w:pPr>
        <w:spacing w:after="0" w:line="240" w:lineRule="auto"/>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Indeed, that monies for the first phase can be “managed within existing budgets is because the existing budgets are slush-funds.  Tellingly, the Committee here conceals the cumulative dollar amount represented by the “less than 5 one-thousands of 1 percent of all state funds spending (0.0048%)” – which it surely has, since it has offered up a percentage figure for the first phase.  And does this dollar figure include the increases to pensions and other salary-based non-salary benefits?</w:t>
      </w:r>
    </w:p>
    <w:p w14:paraId="1C40A017" w14:textId="77777777" w:rsidR="00873DC2" w:rsidRDefault="00873DC2" w:rsidP="008B077F">
      <w:pPr>
        <w:ind w:right="720"/>
        <w:jc w:val="both"/>
        <w:rPr>
          <w:rFonts w:ascii="Times New Roman" w:eastAsia="Calibri" w:hAnsi="Times New Roman" w:cs="Times New Roman"/>
          <w:b/>
          <w:bCs/>
          <w:color w:val="333333"/>
          <w:sz w:val="24"/>
          <w:szCs w:val="24"/>
          <w:u w:val="single"/>
          <w:shd w:val="clear" w:color="auto" w:fill="FFFFFF"/>
        </w:rPr>
      </w:pPr>
    </w:p>
    <w:p w14:paraId="3C27DBCD" w14:textId="24FD08FE" w:rsidR="008B077F" w:rsidRPr="008B077F" w:rsidRDefault="008B077F" w:rsidP="008B077F">
      <w:pPr>
        <w:ind w:right="720"/>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
          <w:bCs/>
          <w:color w:val="333333"/>
          <w:sz w:val="24"/>
          <w:szCs w:val="24"/>
          <w:u w:val="single"/>
          <w:shd w:val="clear" w:color="auto" w:fill="FFFFFF"/>
        </w:rPr>
        <w:t>Paragraph #10</w:t>
      </w:r>
      <w:r w:rsidRPr="008B077F">
        <w:rPr>
          <w:rFonts w:ascii="Times New Roman" w:eastAsia="Calibri" w:hAnsi="Times New Roman" w:cs="Times New Roman"/>
          <w:bCs/>
          <w:color w:val="333333"/>
          <w:sz w:val="24"/>
          <w:szCs w:val="24"/>
          <w:shd w:val="clear" w:color="auto" w:fill="FFFFFF"/>
        </w:rPr>
        <w:t>:</w:t>
      </w:r>
    </w:p>
    <w:p w14:paraId="60281792" w14:textId="5789B991" w:rsidR="008B077F" w:rsidRDefault="008B077F" w:rsidP="005465CD">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“Salary data for Legislators are not well-compared to legislators in most other states. Many states legislators who are considered ‘part-time’ as compared to New York, which is </w:t>
      </w:r>
      <w:proofErr w:type="gramStart"/>
      <w:r w:rsidRPr="008B077F">
        <w:rPr>
          <w:rFonts w:ascii="Times New Roman" w:eastAsia="Calibri" w:hAnsi="Times New Roman" w:cs="Times New Roman"/>
          <w:bCs/>
          <w:color w:val="333333"/>
          <w:sz w:val="24"/>
          <w:szCs w:val="24"/>
          <w:shd w:val="clear" w:color="auto" w:fill="FFFFFF"/>
        </w:rPr>
        <w:t>in reality considered</w:t>
      </w:r>
      <w:proofErr w:type="gramEnd"/>
      <w:r w:rsidRPr="008B077F">
        <w:rPr>
          <w:rFonts w:ascii="Times New Roman" w:eastAsia="Calibri" w:hAnsi="Times New Roman" w:cs="Times New Roman"/>
          <w:bCs/>
          <w:color w:val="333333"/>
          <w:sz w:val="24"/>
          <w:szCs w:val="24"/>
          <w:shd w:val="clear" w:color="auto" w:fill="FFFFFF"/>
        </w:rPr>
        <w:t xml:space="preserve"> a more ‘full-time legislature, do earn less than New York’s salary of $79,500. However, New York’s legislators compare in workload and productivity to relatively few other legislatures in the country. Further, differences in regional cost </w:t>
      </w:r>
      <w:r w:rsidRPr="008B077F">
        <w:rPr>
          <w:rFonts w:ascii="Times New Roman" w:eastAsia="Calibri" w:hAnsi="Times New Roman" w:cs="Times New Roman"/>
          <w:bCs/>
          <w:color w:val="333333"/>
          <w:sz w:val="24"/>
          <w:szCs w:val="24"/>
          <w:shd w:val="clear" w:color="auto" w:fill="FFFFFF"/>
        </w:rPr>
        <w:lastRenderedPageBreak/>
        <w:t>of living impact these salaries as well. The National Conference of State Legislatures for instance, compares New York only to Michigan, California, and Pennsylvania as equivalent to work product and time commitment.</w:t>
      </w:r>
      <w:r w:rsidR="005465CD" w:rsidRPr="005465CD">
        <w:rPr>
          <w:rFonts w:ascii="Times New Roman" w:eastAsia="Calibri" w:hAnsi="Times New Roman" w:cs="Times New Roman"/>
          <w:bCs/>
          <w:color w:val="333333"/>
          <w:sz w:val="24"/>
          <w:szCs w:val="24"/>
          <w:shd w:val="clear" w:color="auto" w:fill="FFFFFF"/>
          <w:vertAlign w:val="superscript"/>
        </w:rPr>
        <w:t>fn</w:t>
      </w:r>
      <w:r w:rsidRPr="005465CD">
        <w:rPr>
          <w:rFonts w:ascii="Times New Roman" w:eastAsia="Calibri" w:hAnsi="Times New Roman" w:cs="Times New Roman"/>
          <w:bCs/>
          <w:color w:val="333333"/>
          <w:sz w:val="24"/>
          <w:szCs w:val="24"/>
          <w:shd w:val="clear" w:color="auto" w:fill="FFFFFF"/>
          <w:vertAlign w:val="superscript"/>
        </w:rPr>
        <w:t>2</w:t>
      </w:r>
      <w:r w:rsidRPr="008B077F">
        <w:rPr>
          <w:rFonts w:ascii="Times New Roman" w:eastAsia="Calibri" w:hAnsi="Times New Roman" w:cs="Times New Roman"/>
          <w:bCs/>
          <w:color w:val="333333"/>
          <w:sz w:val="24"/>
          <w:szCs w:val="24"/>
          <w:shd w:val="clear" w:color="auto" w:fill="FFFFFF"/>
        </w:rPr>
        <w:t xml:space="preserve"> In some of those states, the salaries exceed that of New York.”  </w:t>
      </w:r>
    </w:p>
    <w:p w14:paraId="59A0C983" w14:textId="77777777" w:rsidR="00BD539D" w:rsidRPr="008B077F" w:rsidRDefault="00BD539D" w:rsidP="005465CD">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323CE967" w14:textId="3CA09213" w:rsidR="00AD699B" w:rsidRDefault="008B077F" w:rsidP="005465CD">
      <w:pPr>
        <w:spacing w:after="0" w:line="240" w:lineRule="auto"/>
        <w:jc w:val="both"/>
        <w:rPr>
          <w:rFonts w:ascii="Times New Roman" w:hAnsi="Times New Roman" w:cs="Times New Roman"/>
          <w:color w:val="000000"/>
          <w:sz w:val="24"/>
          <w:szCs w:val="24"/>
        </w:rPr>
      </w:pPr>
      <w:r w:rsidRPr="005465CD">
        <w:rPr>
          <w:rFonts w:ascii="Times New Roman" w:eastAsia="Calibri" w:hAnsi="Times New Roman" w:cs="Times New Roman"/>
          <w:bCs/>
          <w:color w:val="333333"/>
          <w:sz w:val="24"/>
          <w:szCs w:val="24"/>
          <w:shd w:val="clear" w:color="auto" w:fill="FFFFFF"/>
        </w:rPr>
        <w:t>Th</w:t>
      </w:r>
      <w:r w:rsidR="005465CD">
        <w:rPr>
          <w:rFonts w:ascii="Times New Roman" w:eastAsia="Calibri" w:hAnsi="Times New Roman" w:cs="Times New Roman"/>
          <w:bCs/>
          <w:color w:val="333333"/>
          <w:sz w:val="24"/>
          <w:szCs w:val="24"/>
          <w:shd w:val="clear" w:color="auto" w:fill="FFFFFF"/>
        </w:rPr>
        <w:t xml:space="preserve">is paragraph is rife with deceit, </w:t>
      </w:r>
      <w:r w:rsidRPr="005465CD">
        <w:rPr>
          <w:rFonts w:ascii="Times New Roman" w:eastAsia="Calibri" w:hAnsi="Times New Roman" w:cs="Times New Roman"/>
          <w:bCs/>
          <w:color w:val="333333"/>
          <w:sz w:val="24"/>
          <w:szCs w:val="24"/>
          <w:shd w:val="clear" w:color="auto" w:fill="FFFFFF"/>
        </w:rPr>
        <w:t>beginning with its phase “well-compared”</w:t>
      </w:r>
      <w:r w:rsidR="005465CD">
        <w:rPr>
          <w:rFonts w:ascii="Times New Roman" w:eastAsia="Calibri" w:hAnsi="Times New Roman" w:cs="Times New Roman"/>
          <w:bCs/>
          <w:color w:val="333333"/>
          <w:sz w:val="24"/>
          <w:szCs w:val="24"/>
          <w:shd w:val="clear" w:color="auto" w:fill="FFFFFF"/>
        </w:rPr>
        <w:t xml:space="preserve"> – the inference being </w:t>
      </w:r>
      <w:r w:rsidRPr="005465CD">
        <w:rPr>
          <w:rFonts w:ascii="Times New Roman" w:eastAsia="Calibri" w:hAnsi="Times New Roman" w:cs="Times New Roman"/>
          <w:bCs/>
          <w:color w:val="333333"/>
          <w:sz w:val="24"/>
          <w:szCs w:val="24"/>
          <w:shd w:val="clear" w:color="auto" w:fill="FFFFFF"/>
        </w:rPr>
        <w:t xml:space="preserve">that New York’s legislators are not well compensated in comparison to the legislators of other states.  </w:t>
      </w:r>
      <w:r w:rsidR="00871DC9" w:rsidRPr="005465CD">
        <w:rPr>
          <w:rFonts w:ascii="Times New Roman" w:eastAsia="Calibri" w:hAnsi="Times New Roman" w:cs="Times New Roman"/>
          <w:bCs/>
          <w:color w:val="333333"/>
          <w:sz w:val="24"/>
          <w:szCs w:val="24"/>
          <w:shd w:val="clear" w:color="auto" w:fill="FFFFFF"/>
        </w:rPr>
        <w:t xml:space="preserve">This is false, as </w:t>
      </w:r>
      <w:r w:rsidRPr="005465CD">
        <w:rPr>
          <w:rFonts w:ascii="Times New Roman" w:eastAsia="Calibri" w:hAnsi="Times New Roman" w:cs="Times New Roman"/>
          <w:bCs/>
          <w:color w:val="333333"/>
          <w:sz w:val="24"/>
          <w:szCs w:val="24"/>
          <w:shd w:val="clear" w:color="auto" w:fill="FFFFFF"/>
        </w:rPr>
        <w:t xml:space="preserve">New York’s legislature is the third highest in the country, behind California </w:t>
      </w:r>
      <w:r w:rsidR="00AD699B" w:rsidRPr="005465CD">
        <w:rPr>
          <w:rFonts w:ascii="Times New Roman" w:eastAsia="Calibri" w:hAnsi="Times New Roman" w:cs="Times New Roman"/>
          <w:bCs/>
          <w:color w:val="333333"/>
          <w:sz w:val="24"/>
          <w:szCs w:val="24"/>
          <w:shd w:val="clear" w:color="auto" w:fill="FFFFFF"/>
        </w:rPr>
        <w:t xml:space="preserve">($107,240) </w:t>
      </w:r>
      <w:r w:rsidRPr="005465CD">
        <w:rPr>
          <w:rFonts w:ascii="Times New Roman" w:eastAsia="Calibri" w:hAnsi="Times New Roman" w:cs="Times New Roman"/>
          <w:bCs/>
          <w:color w:val="333333"/>
          <w:sz w:val="24"/>
          <w:szCs w:val="24"/>
          <w:shd w:val="clear" w:color="auto" w:fill="FFFFFF"/>
        </w:rPr>
        <w:t>and Pennsylvania</w:t>
      </w:r>
      <w:r w:rsidR="0031297F" w:rsidRPr="005465CD">
        <w:rPr>
          <w:rFonts w:ascii="Times New Roman" w:eastAsia="Calibri" w:hAnsi="Times New Roman" w:cs="Times New Roman"/>
          <w:bCs/>
          <w:color w:val="333333"/>
          <w:sz w:val="24"/>
          <w:szCs w:val="24"/>
          <w:shd w:val="clear" w:color="auto" w:fill="FFFFFF"/>
        </w:rPr>
        <w:t xml:space="preserve"> </w:t>
      </w:r>
      <w:r w:rsidR="00AD699B" w:rsidRPr="005465CD">
        <w:rPr>
          <w:rFonts w:ascii="Times New Roman" w:eastAsia="Calibri" w:hAnsi="Times New Roman" w:cs="Times New Roman"/>
          <w:bCs/>
          <w:color w:val="333333"/>
          <w:sz w:val="24"/>
          <w:szCs w:val="24"/>
          <w:shd w:val="clear" w:color="auto" w:fill="FFFFFF"/>
        </w:rPr>
        <w:t xml:space="preserve">($87,180), </w:t>
      </w:r>
      <w:r w:rsidR="0031297F" w:rsidRPr="005465CD">
        <w:rPr>
          <w:rFonts w:ascii="Times New Roman" w:eastAsia="Calibri" w:hAnsi="Times New Roman" w:cs="Times New Roman"/>
          <w:bCs/>
          <w:color w:val="333333"/>
          <w:sz w:val="24"/>
          <w:szCs w:val="24"/>
          <w:shd w:val="clear" w:color="auto" w:fill="FFFFFF"/>
        </w:rPr>
        <w:t xml:space="preserve">both “full time legislatures”   Not only </w:t>
      </w:r>
      <w:r w:rsidR="00151E07" w:rsidRPr="005465CD">
        <w:rPr>
          <w:rFonts w:ascii="Times New Roman" w:eastAsia="Calibri" w:hAnsi="Times New Roman" w:cs="Times New Roman"/>
          <w:bCs/>
          <w:color w:val="333333"/>
          <w:sz w:val="24"/>
          <w:szCs w:val="24"/>
          <w:shd w:val="clear" w:color="auto" w:fill="FFFFFF"/>
        </w:rPr>
        <w:t xml:space="preserve">does this paragraph conceal </w:t>
      </w:r>
      <w:r w:rsidR="003C4B9A" w:rsidRPr="005465CD">
        <w:rPr>
          <w:rFonts w:ascii="Times New Roman" w:eastAsia="Calibri" w:hAnsi="Times New Roman" w:cs="Times New Roman"/>
          <w:bCs/>
          <w:color w:val="333333"/>
          <w:sz w:val="24"/>
          <w:szCs w:val="24"/>
          <w:shd w:val="clear" w:color="auto" w:fill="FFFFFF"/>
        </w:rPr>
        <w:t>New York’s</w:t>
      </w:r>
      <w:r w:rsidR="0031297F" w:rsidRPr="005465CD">
        <w:rPr>
          <w:rFonts w:ascii="Times New Roman" w:eastAsia="Calibri" w:hAnsi="Times New Roman" w:cs="Times New Roman"/>
          <w:bCs/>
          <w:color w:val="333333"/>
          <w:sz w:val="24"/>
          <w:szCs w:val="24"/>
          <w:shd w:val="clear" w:color="auto" w:fill="FFFFFF"/>
        </w:rPr>
        <w:t xml:space="preserve"> third-in-the-country salary ranking</w:t>
      </w:r>
      <w:r w:rsidR="00871DC9" w:rsidRPr="005465CD">
        <w:rPr>
          <w:rFonts w:ascii="Times New Roman" w:eastAsia="Calibri" w:hAnsi="Times New Roman" w:cs="Times New Roman"/>
          <w:bCs/>
          <w:color w:val="333333"/>
          <w:sz w:val="24"/>
          <w:szCs w:val="24"/>
          <w:shd w:val="clear" w:color="auto" w:fill="FFFFFF"/>
        </w:rPr>
        <w:t xml:space="preserve"> </w:t>
      </w:r>
      <w:r w:rsidR="003149FF" w:rsidRPr="005465CD">
        <w:rPr>
          <w:rFonts w:ascii="Times New Roman" w:eastAsia="Calibri" w:hAnsi="Times New Roman" w:cs="Times New Roman"/>
          <w:bCs/>
          <w:color w:val="333333"/>
          <w:sz w:val="24"/>
          <w:szCs w:val="24"/>
          <w:shd w:val="clear" w:color="auto" w:fill="FFFFFF"/>
        </w:rPr>
        <w:t xml:space="preserve">– notwithstanding pointed out in the </w:t>
      </w:r>
      <w:r w:rsidR="0031297F" w:rsidRPr="005465CD">
        <w:rPr>
          <w:rFonts w:ascii="Times New Roman" w:eastAsia="Calibri" w:hAnsi="Times New Roman" w:cs="Times New Roman"/>
          <w:bCs/>
          <w:color w:val="333333"/>
          <w:sz w:val="24"/>
          <w:szCs w:val="24"/>
          <w:shd w:val="clear" w:color="auto" w:fill="FFFFFF"/>
        </w:rPr>
        <w:t xml:space="preserve">November 28, 2018 </w:t>
      </w:r>
      <w:r w:rsidR="003149FF" w:rsidRPr="005465CD">
        <w:rPr>
          <w:rFonts w:ascii="Times New Roman" w:eastAsia="Calibri" w:hAnsi="Times New Roman" w:cs="Times New Roman"/>
          <w:bCs/>
          <w:color w:val="333333"/>
          <w:sz w:val="24"/>
          <w:szCs w:val="24"/>
          <w:shd w:val="clear" w:color="auto" w:fill="FFFFFF"/>
        </w:rPr>
        <w:t xml:space="preserve">oral </w:t>
      </w:r>
      <w:r w:rsidR="0031297F" w:rsidRPr="005465CD">
        <w:rPr>
          <w:rFonts w:ascii="Times New Roman" w:eastAsia="Calibri" w:hAnsi="Times New Roman" w:cs="Times New Roman"/>
          <w:bCs/>
          <w:color w:val="333333"/>
          <w:sz w:val="24"/>
          <w:szCs w:val="24"/>
          <w:shd w:val="clear" w:color="auto" w:fill="FFFFFF"/>
        </w:rPr>
        <w:t xml:space="preserve">testimony </w:t>
      </w:r>
      <w:r w:rsidR="003149FF" w:rsidRPr="005465CD">
        <w:rPr>
          <w:rFonts w:ascii="Times New Roman" w:eastAsia="Calibri" w:hAnsi="Times New Roman" w:cs="Times New Roman"/>
          <w:bCs/>
          <w:color w:val="333333"/>
          <w:sz w:val="24"/>
          <w:szCs w:val="24"/>
          <w:shd w:val="clear" w:color="auto" w:fill="FFFFFF"/>
        </w:rPr>
        <w:t>and writt</w:t>
      </w:r>
      <w:r w:rsidR="0031297F" w:rsidRPr="005465CD">
        <w:rPr>
          <w:rFonts w:ascii="Times New Roman" w:eastAsia="Calibri" w:hAnsi="Times New Roman" w:cs="Times New Roman"/>
          <w:bCs/>
          <w:color w:val="333333"/>
          <w:sz w:val="24"/>
          <w:szCs w:val="24"/>
          <w:shd w:val="clear" w:color="auto" w:fill="FFFFFF"/>
        </w:rPr>
        <w:t>en statement of NYPIRG’s Blair Horner – but</w:t>
      </w:r>
      <w:r w:rsidR="00151E07" w:rsidRPr="005465CD">
        <w:rPr>
          <w:rFonts w:ascii="Times New Roman" w:eastAsia="Calibri" w:hAnsi="Times New Roman" w:cs="Times New Roman"/>
          <w:bCs/>
          <w:color w:val="333333"/>
          <w:sz w:val="24"/>
          <w:szCs w:val="24"/>
          <w:shd w:val="clear" w:color="auto" w:fill="FFFFFF"/>
        </w:rPr>
        <w:t xml:space="preserve">, </w:t>
      </w:r>
      <w:r w:rsidR="0031297F" w:rsidRPr="005465CD">
        <w:rPr>
          <w:rFonts w:ascii="Times New Roman" w:eastAsia="Calibri" w:hAnsi="Times New Roman" w:cs="Times New Roman"/>
          <w:bCs/>
          <w:color w:val="333333"/>
          <w:sz w:val="24"/>
          <w:szCs w:val="24"/>
          <w:shd w:val="clear" w:color="auto" w:fill="FFFFFF"/>
        </w:rPr>
        <w:t>the very definition of “full</w:t>
      </w:r>
      <w:r w:rsidR="00151E07" w:rsidRPr="005465CD">
        <w:rPr>
          <w:rFonts w:ascii="Times New Roman" w:eastAsia="Calibri" w:hAnsi="Times New Roman" w:cs="Times New Roman"/>
          <w:bCs/>
          <w:color w:val="333333"/>
          <w:sz w:val="24"/>
          <w:szCs w:val="24"/>
          <w:shd w:val="clear" w:color="auto" w:fill="FFFFFF"/>
        </w:rPr>
        <w:t xml:space="preserve">-time” legislature </w:t>
      </w:r>
      <w:r w:rsidR="00C6034D" w:rsidRPr="005465CD">
        <w:rPr>
          <w:rFonts w:ascii="Times New Roman" w:eastAsia="Calibri" w:hAnsi="Times New Roman" w:cs="Times New Roman"/>
          <w:bCs/>
          <w:color w:val="333333"/>
          <w:sz w:val="24"/>
          <w:szCs w:val="24"/>
          <w:shd w:val="clear" w:color="auto" w:fill="FFFFFF"/>
        </w:rPr>
        <w:t xml:space="preserve">– reflected by the annotating footnote </w:t>
      </w:r>
      <w:r w:rsidR="005465CD">
        <w:rPr>
          <w:rFonts w:ascii="Times New Roman" w:eastAsia="Calibri" w:hAnsi="Times New Roman" w:cs="Times New Roman"/>
          <w:bCs/>
          <w:color w:val="333333"/>
          <w:sz w:val="24"/>
          <w:szCs w:val="24"/>
          <w:shd w:val="clear" w:color="auto" w:fill="FFFFFF"/>
        </w:rPr>
        <w:t>link</w:t>
      </w:r>
      <w:r w:rsidR="001C4CF1" w:rsidRPr="005465CD">
        <w:rPr>
          <w:rFonts w:ascii="Times New Roman" w:eastAsia="Calibri" w:hAnsi="Times New Roman" w:cs="Times New Roman"/>
          <w:bCs/>
          <w:color w:val="333333"/>
          <w:sz w:val="24"/>
          <w:szCs w:val="24"/>
          <w:shd w:val="clear" w:color="auto" w:fill="FFFFFF"/>
        </w:rPr>
        <w:t xml:space="preserve"> to the National Conference of State Legislatures</w:t>
      </w:r>
      <w:r w:rsidR="00C6034D" w:rsidRPr="005465CD">
        <w:rPr>
          <w:rFonts w:ascii="Times New Roman" w:eastAsia="Calibri" w:hAnsi="Times New Roman" w:cs="Times New Roman"/>
          <w:bCs/>
          <w:color w:val="333333"/>
          <w:sz w:val="24"/>
          <w:szCs w:val="24"/>
          <w:shd w:val="clear" w:color="auto" w:fill="FFFFFF"/>
        </w:rPr>
        <w:t xml:space="preserve">:  </w:t>
      </w:r>
      <w:hyperlink r:id="rId13" w:history="1">
        <w:r w:rsidR="003C4B9A" w:rsidRPr="005465CD">
          <w:rPr>
            <w:rStyle w:val="Hyperlink"/>
            <w:rFonts w:ascii="Times New Roman" w:eastAsia="Calibri" w:hAnsi="Times New Roman" w:cs="Times New Roman"/>
            <w:bCs/>
            <w:sz w:val="24"/>
            <w:szCs w:val="24"/>
            <w:shd w:val="clear" w:color="auto" w:fill="FFFFFF"/>
          </w:rPr>
          <w:t>http://www.ncsl.org/research/about-state-legislatures/full-and-part-time-legislatures.aspx</w:t>
        </w:r>
      </w:hyperlink>
      <w:r w:rsidR="003C4B9A" w:rsidRPr="005465CD">
        <w:rPr>
          <w:rFonts w:ascii="Times New Roman" w:eastAsia="Calibri" w:hAnsi="Times New Roman" w:cs="Times New Roman"/>
          <w:bCs/>
          <w:color w:val="333333"/>
          <w:sz w:val="24"/>
          <w:szCs w:val="24"/>
          <w:shd w:val="clear" w:color="auto" w:fill="FFFFFF"/>
        </w:rPr>
        <w:t xml:space="preserve"> </w:t>
      </w:r>
      <w:r w:rsidR="00AD699B" w:rsidRPr="005465CD">
        <w:rPr>
          <w:rFonts w:ascii="Times New Roman" w:eastAsia="Calibri" w:hAnsi="Times New Roman" w:cs="Times New Roman"/>
          <w:bCs/>
          <w:color w:val="333333"/>
          <w:sz w:val="24"/>
          <w:szCs w:val="24"/>
          <w:shd w:val="clear" w:color="auto" w:fill="FFFFFF"/>
        </w:rPr>
        <w:t xml:space="preserve">– </w:t>
      </w:r>
      <w:r w:rsidR="00151E07" w:rsidRPr="005465CD">
        <w:rPr>
          <w:rFonts w:ascii="Times New Roman" w:eastAsia="Calibri" w:hAnsi="Times New Roman" w:cs="Times New Roman"/>
          <w:bCs/>
          <w:color w:val="333333"/>
          <w:sz w:val="24"/>
          <w:szCs w:val="24"/>
          <w:shd w:val="clear" w:color="auto" w:fill="FFFFFF"/>
        </w:rPr>
        <w:t>takes into account a pay level commensurate with “full time”</w:t>
      </w:r>
      <w:r w:rsidR="00C6034D" w:rsidRPr="005465CD">
        <w:rPr>
          <w:rFonts w:ascii="Times New Roman" w:eastAsia="Calibri" w:hAnsi="Times New Roman" w:cs="Times New Roman"/>
          <w:bCs/>
          <w:color w:val="333333"/>
          <w:sz w:val="24"/>
          <w:szCs w:val="24"/>
          <w:shd w:val="clear" w:color="auto" w:fill="FFFFFF"/>
        </w:rPr>
        <w:t xml:space="preserve">, </w:t>
      </w:r>
      <w:r w:rsidR="003C4B9A" w:rsidRPr="00E10195">
        <w:rPr>
          <w:rFonts w:ascii="Times New Roman" w:eastAsia="Calibri" w:hAnsi="Times New Roman" w:cs="Times New Roman"/>
          <w:bCs/>
          <w:i/>
          <w:color w:val="333333"/>
          <w:sz w:val="24"/>
          <w:szCs w:val="24"/>
          <w:shd w:val="clear" w:color="auto" w:fill="FFFFFF"/>
        </w:rPr>
        <w:t>to wit</w:t>
      </w:r>
      <w:r w:rsidR="003C4B9A" w:rsidRPr="005465CD">
        <w:rPr>
          <w:rFonts w:ascii="Times New Roman" w:eastAsia="Calibri" w:hAnsi="Times New Roman" w:cs="Times New Roman"/>
          <w:bCs/>
          <w:color w:val="333333"/>
          <w:sz w:val="24"/>
          <w:szCs w:val="24"/>
          <w:shd w:val="clear" w:color="auto" w:fill="FFFFFF"/>
        </w:rPr>
        <w:t xml:space="preserve">, </w:t>
      </w:r>
      <w:r w:rsidR="00C6034D" w:rsidRPr="005465CD">
        <w:rPr>
          <w:rFonts w:ascii="Times New Roman" w:eastAsia="Calibri" w:hAnsi="Times New Roman" w:cs="Times New Roman"/>
          <w:bCs/>
          <w:color w:val="333333"/>
          <w:sz w:val="24"/>
          <w:szCs w:val="24"/>
          <w:shd w:val="clear" w:color="auto" w:fill="FFFFFF"/>
        </w:rPr>
        <w:t>“</w:t>
      </w:r>
      <w:r w:rsidR="00C6034D" w:rsidRPr="005465CD">
        <w:rPr>
          <w:rFonts w:ascii="Times New Roman" w:hAnsi="Times New Roman" w:cs="Times New Roman"/>
          <w:color w:val="000000"/>
          <w:sz w:val="24"/>
          <w:szCs w:val="24"/>
        </w:rPr>
        <w:t>legislators are paid enough to make a living without requiring outside income.”   This is certainly true in New York where</w:t>
      </w:r>
      <w:r w:rsidR="005465CD">
        <w:rPr>
          <w:rFonts w:ascii="Times New Roman" w:hAnsi="Times New Roman" w:cs="Times New Roman"/>
          <w:color w:val="000000"/>
          <w:sz w:val="24"/>
          <w:szCs w:val="24"/>
        </w:rPr>
        <w:t xml:space="preserve">, </w:t>
      </w:r>
      <w:r w:rsidR="00AD699B" w:rsidRPr="005465CD">
        <w:rPr>
          <w:rFonts w:ascii="Times New Roman" w:hAnsi="Times New Roman" w:cs="Times New Roman"/>
          <w:color w:val="000000"/>
          <w:sz w:val="24"/>
          <w:szCs w:val="24"/>
        </w:rPr>
        <w:t xml:space="preserve">reflecting that </w:t>
      </w:r>
      <w:r w:rsidR="005465CD">
        <w:rPr>
          <w:rFonts w:ascii="Times New Roman" w:hAnsi="Times New Roman" w:cs="Times New Roman"/>
          <w:color w:val="000000"/>
          <w:sz w:val="24"/>
          <w:szCs w:val="24"/>
        </w:rPr>
        <w:t xml:space="preserve">very </w:t>
      </w:r>
      <w:r w:rsidR="00AD699B" w:rsidRPr="005465CD">
        <w:rPr>
          <w:rFonts w:ascii="Times New Roman" w:hAnsi="Times New Roman" w:cs="Times New Roman"/>
          <w:color w:val="000000"/>
          <w:sz w:val="24"/>
          <w:szCs w:val="24"/>
        </w:rPr>
        <w:t>fact</w:t>
      </w:r>
      <w:r w:rsidR="005465CD">
        <w:rPr>
          <w:rFonts w:ascii="Times New Roman" w:hAnsi="Times New Roman" w:cs="Times New Roman"/>
          <w:color w:val="000000"/>
          <w:sz w:val="24"/>
          <w:szCs w:val="24"/>
        </w:rPr>
        <w:t xml:space="preserve">, </w:t>
      </w:r>
      <w:proofErr w:type="gramStart"/>
      <w:r w:rsidR="00C6034D" w:rsidRPr="005465CD">
        <w:rPr>
          <w:rFonts w:ascii="Times New Roman" w:hAnsi="Times New Roman" w:cs="Times New Roman"/>
          <w:color w:val="000000"/>
          <w:sz w:val="24"/>
          <w:szCs w:val="24"/>
        </w:rPr>
        <w:t>the overwhelming majority of</w:t>
      </w:r>
      <w:proofErr w:type="gramEnd"/>
      <w:r w:rsidR="00C6034D" w:rsidRPr="005465CD">
        <w:rPr>
          <w:rFonts w:ascii="Times New Roman" w:hAnsi="Times New Roman" w:cs="Times New Roman"/>
          <w:color w:val="000000"/>
          <w:sz w:val="24"/>
          <w:szCs w:val="24"/>
        </w:rPr>
        <w:t xml:space="preserve"> legislators do not, in fact, have any outside earned income</w:t>
      </w:r>
      <w:r w:rsidR="00AD699B" w:rsidRPr="005465CD">
        <w:rPr>
          <w:rFonts w:ascii="Times New Roman" w:hAnsi="Times New Roman" w:cs="Times New Roman"/>
          <w:color w:val="000000"/>
          <w:sz w:val="24"/>
          <w:szCs w:val="24"/>
        </w:rPr>
        <w:t>.   Such is also concealed by this paragraph</w:t>
      </w:r>
      <w:r w:rsidR="001C2D18">
        <w:rPr>
          <w:rFonts w:ascii="Times New Roman" w:hAnsi="Times New Roman" w:cs="Times New Roman"/>
          <w:color w:val="000000"/>
          <w:sz w:val="24"/>
          <w:szCs w:val="24"/>
        </w:rPr>
        <w:t xml:space="preserve"> – and elsewhere in the Committee’s Report</w:t>
      </w:r>
      <w:r w:rsidR="00AD699B" w:rsidRPr="005465CD">
        <w:rPr>
          <w:rFonts w:ascii="Times New Roman" w:hAnsi="Times New Roman" w:cs="Times New Roman"/>
          <w:color w:val="000000"/>
          <w:sz w:val="24"/>
          <w:szCs w:val="24"/>
        </w:rPr>
        <w:t>.</w:t>
      </w:r>
    </w:p>
    <w:p w14:paraId="0D299044" w14:textId="77777777" w:rsidR="005465CD" w:rsidRPr="005465CD" w:rsidRDefault="005465CD" w:rsidP="005465CD">
      <w:pPr>
        <w:spacing w:after="0" w:line="240" w:lineRule="auto"/>
        <w:jc w:val="both"/>
        <w:rPr>
          <w:rFonts w:ascii="Times New Roman" w:hAnsi="Times New Roman" w:cs="Times New Roman"/>
          <w:color w:val="000000"/>
          <w:sz w:val="24"/>
          <w:szCs w:val="24"/>
        </w:rPr>
      </w:pPr>
    </w:p>
    <w:p w14:paraId="2B88FE51" w14:textId="7D7144DB" w:rsidR="005465CD" w:rsidRDefault="00AD699B" w:rsidP="000A1810">
      <w:pPr>
        <w:spacing w:after="0" w:line="240" w:lineRule="auto"/>
        <w:jc w:val="both"/>
        <w:rPr>
          <w:rFonts w:ascii="Times New Roman" w:eastAsia="Calibri" w:hAnsi="Times New Roman" w:cs="Times New Roman"/>
          <w:bCs/>
          <w:color w:val="333333"/>
          <w:sz w:val="24"/>
          <w:szCs w:val="24"/>
          <w:shd w:val="clear" w:color="auto" w:fill="FFFFFF"/>
        </w:rPr>
      </w:pPr>
      <w:r w:rsidRPr="005465CD">
        <w:rPr>
          <w:rFonts w:ascii="Times New Roman" w:eastAsia="Calibri" w:hAnsi="Times New Roman" w:cs="Times New Roman"/>
          <w:bCs/>
          <w:color w:val="333333"/>
          <w:sz w:val="24"/>
          <w:szCs w:val="24"/>
          <w:shd w:val="clear" w:color="auto" w:fill="FFFFFF"/>
        </w:rPr>
        <w:t>F</w:t>
      </w:r>
      <w:r w:rsidR="00CD5F73" w:rsidRPr="005465CD">
        <w:rPr>
          <w:rFonts w:ascii="Times New Roman" w:eastAsia="Calibri" w:hAnsi="Times New Roman" w:cs="Times New Roman"/>
          <w:bCs/>
          <w:color w:val="333333"/>
          <w:sz w:val="24"/>
          <w:szCs w:val="24"/>
          <w:shd w:val="clear" w:color="auto" w:fill="FFFFFF"/>
        </w:rPr>
        <w:t xml:space="preserve">inally, as to the </w:t>
      </w:r>
      <w:r w:rsidRPr="005465CD">
        <w:rPr>
          <w:rFonts w:ascii="Times New Roman" w:eastAsia="Calibri" w:hAnsi="Times New Roman" w:cs="Times New Roman"/>
          <w:bCs/>
          <w:color w:val="333333"/>
          <w:sz w:val="24"/>
          <w:szCs w:val="24"/>
          <w:shd w:val="clear" w:color="auto" w:fill="FFFFFF"/>
        </w:rPr>
        <w:t>assertion that “New York’s legislators compare in workload and productivity to relatively few other legislatures in the country”, this is also a deceit</w:t>
      </w:r>
      <w:r w:rsidR="005465CD">
        <w:rPr>
          <w:rFonts w:ascii="Times New Roman" w:eastAsia="Calibri" w:hAnsi="Times New Roman" w:cs="Times New Roman"/>
          <w:bCs/>
          <w:color w:val="333333"/>
          <w:sz w:val="24"/>
          <w:szCs w:val="24"/>
          <w:shd w:val="clear" w:color="auto" w:fill="FFFFFF"/>
        </w:rPr>
        <w:t xml:space="preserve"> by its implication</w:t>
      </w:r>
      <w:r w:rsidR="003D0A9B" w:rsidRPr="005465CD">
        <w:rPr>
          <w:rFonts w:ascii="Times New Roman" w:eastAsia="Calibri" w:hAnsi="Times New Roman" w:cs="Times New Roman"/>
          <w:bCs/>
          <w:color w:val="333333"/>
          <w:sz w:val="24"/>
          <w:szCs w:val="24"/>
          <w:shd w:val="clear" w:color="auto" w:fill="FFFFFF"/>
        </w:rPr>
        <w:t xml:space="preserve"> </w:t>
      </w:r>
      <w:r w:rsidR="005465CD" w:rsidRPr="005465CD">
        <w:rPr>
          <w:rFonts w:ascii="Times New Roman" w:eastAsia="Calibri" w:hAnsi="Times New Roman" w:cs="Times New Roman"/>
          <w:bCs/>
          <w:color w:val="333333"/>
          <w:sz w:val="24"/>
          <w:szCs w:val="24"/>
          <w:shd w:val="clear" w:color="auto" w:fill="FFFFFF"/>
        </w:rPr>
        <w:t>that the comparison is in New York’s favor.</w:t>
      </w:r>
      <w:r w:rsidR="005465CD">
        <w:rPr>
          <w:rFonts w:ascii="Times New Roman" w:eastAsia="Calibri" w:hAnsi="Times New Roman" w:cs="Times New Roman"/>
          <w:bCs/>
          <w:color w:val="333333"/>
          <w:sz w:val="24"/>
          <w:szCs w:val="24"/>
          <w:shd w:val="clear" w:color="auto" w:fill="FFFFFF"/>
        </w:rPr>
        <w:t xml:space="preserve">   The very opposite is the case</w:t>
      </w:r>
      <w:r w:rsidR="005465CD" w:rsidRPr="005465CD">
        <w:rPr>
          <w:rFonts w:ascii="Times New Roman" w:eastAsia="Calibri" w:hAnsi="Times New Roman" w:cs="Times New Roman"/>
          <w:bCs/>
          <w:color w:val="333333"/>
          <w:sz w:val="24"/>
          <w:szCs w:val="24"/>
          <w:shd w:val="clear" w:color="auto" w:fill="FFFFFF"/>
        </w:rPr>
        <w:t xml:space="preserve"> – and the</w:t>
      </w:r>
      <w:r w:rsidR="000A1810">
        <w:rPr>
          <w:rFonts w:ascii="Times New Roman" w:eastAsia="Calibri" w:hAnsi="Times New Roman" w:cs="Times New Roman"/>
          <w:bCs/>
          <w:color w:val="333333"/>
          <w:sz w:val="24"/>
          <w:szCs w:val="24"/>
          <w:shd w:val="clear" w:color="auto" w:fill="FFFFFF"/>
        </w:rPr>
        <w:t xml:space="preserve"> </w:t>
      </w:r>
      <w:r w:rsidR="005465CD" w:rsidRPr="005465CD">
        <w:rPr>
          <w:rFonts w:ascii="Times New Roman" w:eastAsia="Calibri" w:hAnsi="Times New Roman" w:cs="Times New Roman"/>
          <w:bCs/>
          <w:color w:val="333333"/>
          <w:sz w:val="24"/>
          <w:szCs w:val="24"/>
          <w:shd w:val="clear" w:color="auto" w:fill="FFFFFF"/>
        </w:rPr>
        <w:t xml:space="preserve">Brennan Center </w:t>
      </w:r>
      <w:r w:rsidR="00734270">
        <w:rPr>
          <w:rFonts w:ascii="Times New Roman" w:eastAsia="Calibri" w:hAnsi="Times New Roman" w:cs="Times New Roman"/>
          <w:bCs/>
          <w:color w:val="333333"/>
          <w:sz w:val="24"/>
          <w:szCs w:val="24"/>
          <w:shd w:val="clear" w:color="auto" w:fill="FFFFFF"/>
        </w:rPr>
        <w:t>r</w:t>
      </w:r>
      <w:r w:rsidR="005465CD" w:rsidRPr="005465CD">
        <w:rPr>
          <w:rFonts w:ascii="Times New Roman" w:eastAsia="Calibri" w:hAnsi="Times New Roman" w:cs="Times New Roman"/>
          <w:bCs/>
          <w:color w:val="333333"/>
          <w:sz w:val="24"/>
          <w:szCs w:val="24"/>
          <w:shd w:val="clear" w:color="auto" w:fill="FFFFFF"/>
        </w:rPr>
        <w:t>eport</w:t>
      </w:r>
      <w:r w:rsidR="000A1810">
        <w:rPr>
          <w:rFonts w:ascii="Times New Roman" w:eastAsia="Calibri" w:hAnsi="Times New Roman" w:cs="Times New Roman"/>
          <w:bCs/>
          <w:color w:val="333333"/>
          <w:sz w:val="24"/>
          <w:szCs w:val="24"/>
          <w:shd w:val="clear" w:color="auto" w:fill="FFFFFF"/>
        </w:rPr>
        <w:t>s</w:t>
      </w:r>
      <w:r w:rsidR="005465CD" w:rsidRPr="005465CD">
        <w:rPr>
          <w:rFonts w:ascii="Times New Roman" w:eastAsia="Calibri" w:hAnsi="Times New Roman" w:cs="Times New Roman"/>
          <w:bCs/>
          <w:color w:val="333333"/>
          <w:sz w:val="24"/>
          <w:szCs w:val="24"/>
          <w:shd w:val="clear" w:color="auto" w:fill="FFFFFF"/>
        </w:rPr>
        <w:t xml:space="preserve"> that </w:t>
      </w:r>
      <w:r w:rsidR="00E10195">
        <w:rPr>
          <w:rFonts w:ascii="Times New Roman" w:eastAsia="Calibri" w:hAnsi="Times New Roman" w:cs="Times New Roman"/>
          <w:bCs/>
          <w:color w:val="333333"/>
          <w:sz w:val="24"/>
          <w:szCs w:val="24"/>
          <w:shd w:val="clear" w:color="auto" w:fill="FFFFFF"/>
        </w:rPr>
        <w:t>plaintiff</w:t>
      </w:r>
      <w:r w:rsidR="005465CD" w:rsidRPr="005465CD">
        <w:rPr>
          <w:rFonts w:ascii="Times New Roman" w:eastAsia="Calibri" w:hAnsi="Times New Roman" w:cs="Times New Roman"/>
          <w:bCs/>
          <w:color w:val="333333"/>
          <w:sz w:val="24"/>
          <w:szCs w:val="24"/>
          <w:shd w:val="clear" w:color="auto" w:fill="FFFFFF"/>
        </w:rPr>
        <w:t xml:space="preserve"> Sassower handed up at the November 30, 2018 hearing – </w:t>
      </w:r>
      <w:r w:rsidR="000A1810">
        <w:rPr>
          <w:rFonts w:ascii="Times New Roman" w:eastAsia="Calibri" w:hAnsi="Times New Roman" w:cs="Times New Roman"/>
          <w:bCs/>
          <w:color w:val="333333"/>
          <w:sz w:val="24"/>
          <w:szCs w:val="24"/>
          <w:shd w:val="clear" w:color="auto" w:fill="FFFFFF"/>
        </w:rPr>
        <w:t xml:space="preserve">says this explicitly.  Illustrative of a comparison to California, in its 2008 report, is the </w:t>
      </w:r>
      <w:r w:rsidR="005465CD" w:rsidRPr="005465CD">
        <w:rPr>
          <w:rFonts w:ascii="Times New Roman" w:eastAsia="Calibri" w:hAnsi="Times New Roman" w:cs="Times New Roman"/>
          <w:bCs/>
          <w:color w:val="333333"/>
          <w:sz w:val="24"/>
          <w:szCs w:val="24"/>
          <w:shd w:val="clear" w:color="auto" w:fill="FFFFFF"/>
        </w:rPr>
        <w:t>following pertaining to introduction of bills:</w:t>
      </w:r>
    </w:p>
    <w:p w14:paraId="27186180" w14:textId="77777777" w:rsidR="005465CD" w:rsidRPr="005465CD" w:rsidRDefault="005465CD" w:rsidP="000A1810">
      <w:pPr>
        <w:spacing w:after="0" w:line="240" w:lineRule="auto"/>
        <w:jc w:val="both"/>
        <w:rPr>
          <w:rFonts w:ascii="Times New Roman" w:eastAsia="Calibri" w:hAnsi="Times New Roman" w:cs="Times New Roman"/>
          <w:bCs/>
          <w:color w:val="333333"/>
          <w:sz w:val="24"/>
          <w:szCs w:val="24"/>
          <w:shd w:val="clear" w:color="auto" w:fill="FFFFFF"/>
        </w:rPr>
      </w:pPr>
    </w:p>
    <w:p w14:paraId="135DC561" w14:textId="4FC54740" w:rsidR="005465CD" w:rsidRPr="005465CD" w:rsidRDefault="005465CD" w:rsidP="000A1810">
      <w:pPr>
        <w:spacing w:after="0" w:line="240" w:lineRule="auto"/>
        <w:ind w:left="1152" w:right="1152"/>
        <w:jc w:val="both"/>
        <w:rPr>
          <w:rFonts w:ascii="Times New Roman" w:eastAsia="Calibri" w:hAnsi="Times New Roman" w:cs="Times New Roman"/>
          <w:sz w:val="24"/>
          <w:szCs w:val="24"/>
        </w:rPr>
      </w:pPr>
      <w:r w:rsidRPr="005465CD">
        <w:rPr>
          <w:rFonts w:ascii="Times New Roman" w:eastAsia="Calibri" w:hAnsi="Times New Roman" w:cs="Times New Roman"/>
          <w:sz w:val="24"/>
          <w:szCs w:val="24"/>
        </w:rPr>
        <w:t>“</w:t>
      </w:r>
      <w:r w:rsidRPr="00E10195">
        <w:rPr>
          <w:rFonts w:ascii="Times New Roman" w:eastAsia="Calibri" w:hAnsi="Times New Roman" w:cs="Times New Roman"/>
          <w:sz w:val="24"/>
          <w:szCs w:val="24"/>
        </w:rPr>
        <w:t>The relatively high number of bills introduced in the</w:t>
      </w:r>
      <w:r w:rsidR="00E10195" w:rsidRPr="00E10195">
        <w:rPr>
          <w:rFonts w:ascii="Times New Roman" w:eastAsia="Calibri" w:hAnsi="Times New Roman" w:cs="Times New Roman"/>
          <w:sz w:val="24"/>
          <w:szCs w:val="24"/>
        </w:rPr>
        <w:t xml:space="preserve"> [New York]</w:t>
      </w:r>
      <w:r w:rsidRPr="00E10195">
        <w:rPr>
          <w:rFonts w:ascii="Times New Roman" w:eastAsia="Calibri" w:hAnsi="Times New Roman" w:cs="Times New Roman"/>
          <w:sz w:val="24"/>
          <w:szCs w:val="24"/>
        </w:rPr>
        <w:t xml:space="preserve"> Legislature has increased over time and continues to outpace other states. In 2006, the number of bills introduced, 17,700, jumped 17.7% in one </w:t>
      </w:r>
      <w:proofErr w:type="spellStart"/>
      <w:r w:rsidRPr="00E10195">
        <w:rPr>
          <w:rFonts w:ascii="Times New Roman" w:eastAsia="Calibri" w:hAnsi="Times New Roman" w:cs="Times New Roman"/>
          <w:sz w:val="24"/>
          <w:szCs w:val="24"/>
        </w:rPr>
        <w:t>year.</w:t>
      </w:r>
      <w:r w:rsidR="000A1810" w:rsidRPr="00E10195">
        <w:rPr>
          <w:rFonts w:ascii="Times New Roman" w:eastAsia="Calibri" w:hAnsi="Times New Roman" w:cs="Times New Roman"/>
          <w:sz w:val="24"/>
          <w:szCs w:val="24"/>
          <w:vertAlign w:val="superscript"/>
        </w:rPr>
        <w:t>fn</w:t>
      </w:r>
      <w:proofErr w:type="spellEnd"/>
      <w:r w:rsidRPr="00E10195">
        <w:rPr>
          <w:rFonts w:ascii="Times New Roman" w:eastAsia="Calibri" w:hAnsi="Times New Roman" w:cs="Times New Roman"/>
          <w:sz w:val="24"/>
          <w:szCs w:val="24"/>
        </w:rPr>
        <w:t xml:space="preserve"> In 2008, 18,239 bills were introduced, yet only 1,634 (i.e., 9%), passed both houses. That’s slightly better than the 8.2% of bills passed in 2005, but it represents a 20.1% increase in the number of bills introduced over 3 just years.</w:t>
      </w:r>
      <w:r w:rsidRPr="005465CD">
        <w:rPr>
          <w:rFonts w:ascii="Times New Roman" w:eastAsia="Calibri" w:hAnsi="Times New Roman" w:cs="Times New Roman"/>
          <w:sz w:val="24"/>
          <w:szCs w:val="24"/>
        </w:rPr>
        <w:t xml:space="preserve"> </w:t>
      </w:r>
      <w:r w:rsidR="000A1810">
        <w:rPr>
          <w:rFonts w:ascii="Times New Roman" w:eastAsia="Calibri" w:hAnsi="Times New Roman" w:cs="Times New Roman"/>
          <w:sz w:val="24"/>
          <w:szCs w:val="24"/>
        </w:rPr>
        <w:t xml:space="preserve">  </w:t>
      </w:r>
      <w:r w:rsidRPr="005465CD">
        <w:rPr>
          <w:rFonts w:ascii="Times New Roman" w:eastAsia="Calibri" w:hAnsi="Times New Roman" w:cs="Times New Roman"/>
          <w:sz w:val="24"/>
          <w:szCs w:val="24"/>
        </w:rPr>
        <w:t xml:space="preserve">To put these figures in perspective, according to 2006 statistics, the state with the second highest number of bills introduced was New Jersey with 6,430, and </w:t>
      </w:r>
      <w:r w:rsidRPr="000A1810">
        <w:rPr>
          <w:rFonts w:ascii="Times New Roman" w:eastAsia="Calibri" w:hAnsi="Times New Roman" w:cs="Times New Roman"/>
          <w:sz w:val="24"/>
          <w:szCs w:val="24"/>
          <w:u w:val="single"/>
        </w:rPr>
        <w:t>California’s legislature, representing nearly twice the population of New York, introduced fewer than 2,000 bills.</w:t>
      </w:r>
      <w:r w:rsidRPr="000A1810">
        <w:rPr>
          <w:rFonts w:ascii="Times New Roman" w:eastAsia="Calibri" w:hAnsi="Times New Roman" w:cs="Times New Roman"/>
          <w:sz w:val="24"/>
          <w:szCs w:val="24"/>
          <w:u w:val="single"/>
          <w:vertAlign w:val="superscript"/>
        </w:rPr>
        <w:t>fn89</w:t>
      </w:r>
      <w:r w:rsidRPr="005465CD">
        <w:rPr>
          <w:rFonts w:ascii="Times New Roman" w:eastAsia="Calibri" w:hAnsi="Times New Roman" w:cs="Times New Roman"/>
          <w:sz w:val="24"/>
          <w:szCs w:val="24"/>
        </w:rPr>
        <w:t>”   (at p. 25</w:t>
      </w:r>
      <w:r w:rsidR="00E10195">
        <w:rPr>
          <w:rFonts w:ascii="Times New Roman" w:eastAsia="Calibri" w:hAnsi="Times New Roman" w:cs="Times New Roman"/>
          <w:sz w:val="24"/>
          <w:szCs w:val="24"/>
        </w:rPr>
        <w:t>, underlining added</w:t>
      </w:r>
      <w:r w:rsidRPr="005465CD">
        <w:rPr>
          <w:rFonts w:ascii="Times New Roman" w:eastAsia="Calibri" w:hAnsi="Times New Roman" w:cs="Times New Roman"/>
          <w:sz w:val="24"/>
          <w:szCs w:val="24"/>
        </w:rPr>
        <w:t>)</w:t>
      </w:r>
      <w:r w:rsidR="00E10195">
        <w:rPr>
          <w:rFonts w:ascii="Times New Roman" w:eastAsia="Calibri" w:hAnsi="Times New Roman" w:cs="Times New Roman"/>
          <w:sz w:val="24"/>
          <w:szCs w:val="24"/>
        </w:rPr>
        <w:t>.</w:t>
      </w:r>
    </w:p>
    <w:p w14:paraId="49124EB0" w14:textId="5E619F36" w:rsidR="005465CD" w:rsidRPr="005465CD" w:rsidRDefault="005465CD" w:rsidP="000A1810">
      <w:pPr>
        <w:spacing w:after="0" w:line="240" w:lineRule="auto"/>
        <w:jc w:val="both"/>
        <w:rPr>
          <w:rFonts w:ascii="Times New Roman" w:eastAsia="Calibri" w:hAnsi="Times New Roman" w:cs="Times New Roman"/>
          <w:sz w:val="24"/>
          <w:szCs w:val="24"/>
        </w:rPr>
      </w:pPr>
    </w:p>
    <w:p w14:paraId="31E181DA" w14:textId="7B1C66A7" w:rsidR="005465CD" w:rsidRDefault="005465CD" w:rsidP="000A1810">
      <w:pPr>
        <w:spacing w:after="0" w:line="240" w:lineRule="auto"/>
        <w:jc w:val="both"/>
        <w:rPr>
          <w:rFonts w:ascii="Times New Roman" w:eastAsia="Calibri" w:hAnsi="Times New Roman" w:cs="Times New Roman"/>
          <w:sz w:val="24"/>
          <w:szCs w:val="24"/>
        </w:rPr>
      </w:pPr>
      <w:r w:rsidRPr="005465CD">
        <w:rPr>
          <w:rFonts w:ascii="Times New Roman" w:eastAsia="Calibri" w:hAnsi="Times New Roman" w:cs="Times New Roman"/>
          <w:sz w:val="24"/>
          <w:szCs w:val="24"/>
        </w:rPr>
        <w:t>The annotating footnote 89 is to a front-page September 24, 2008 article in the Democrat &amp; Chronicle entitled “</w:t>
      </w:r>
      <w:r w:rsidRPr="005465CD">
        <w:rPr>
          <w:rFonts w:ascii="Times New Roman" w:eastAsia="Calibri" w:hAnsi="Times New Roman" w:cs="Times New Roman"/>
          <w:i/>
          <w:sz w:val="24"/>
          <w:szCs w:val="24"/>
        </w:rPr>
        <w:t>N.Y. Legislature Leads Nation in Legislative Failure</w:t>
      </w:r>
      <w:r w:rsidRPr="005465CD">
        <w:rPr>
          <w:rFonts w:ascii="Times New Roman" w:eastAsia="Calibri" w:hAnsi="Times New Roman" w:cs="Times New Roman"/>
          <w:sz w:val="24"/>
          <w:szCs w:val="24"/>
        </w:rPr>
        <w:t>”.</w:t>
      </w:r>
    </w:p>
    <w:p w14:paraId="0B9B1C71" w14:textId="77777777" w:rsidR="00CE4C01" w:rsidRPr="005465CD" w:rsidRDefault="00CE4C01" w:rsidP="000A1810">
      <w:pPr>
        <w:spacing w:after="0" w:line="240" w:lineRule="auto"/>
        <w:jc w:val="both"/>
        <w:rPr>
          <w:rFonts w:ascii="Times New Roman" w:eastAsia="Calibri" w:hAnsi="Times New Roman" w:cs="Times New Roman"/>
          <w:sz w:val="24"/>
          <w:szCs w:val="24"/>
        </w:rPr>
      </w:pPr>
    </w:p>
    <w:p w14:paraId="4E977849" w14:textId="1F305EED" w:rsidR="00CE4C01" w:rsidRPr="00FD04AE" w:rsidRDefault="008B077F" w:rsidP="001C2D18">
      <w:pPr>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
          <w:bCs/>
          <w:color w:val="333333"/>
          <w:sz w:val="24"/>
          <w:szCs w:val="24"/>
          <w:u w:val="single"/>
          <w:shd w:val="clear" w:color="auto" w:fill="FFFFFF"/>
        </w:rPr>
        <w:t xml:space="preserve">Paragraph </w:t>
      </w:r>
      <w:r w:rsidR="00E226F0">
        <w:rPr>
          <w:rFonts w:ascii="Times New Roman" w:eastAsia="Calibri" w:hAnsi="Times New Roman" w:cs="Times New Roman"/>
          <w:b/>
          <w:bCs/>
          <w:color w:val="333333"/>
          <w:sz w:val="24"/>
          <w:szCs w:val="24"/>
          <w:u w:val="single"/>
          <w:shd w:val="clear" w:color="auto" w:fill="FFFFFF"/>
        </w:rPr>
        <w:t>#</w:t>
      </w:r>
      <w:r w:rsidRPr="008B077F">
        <w:rPr>
          <w:rFonts w:ascii="Times New Roman" w:eastAsia="Calibri" w:hAnsi="Times New Roman" w:cs="Times New Roman"/>
          <w:b/>
          <w:bCs/>
          <w:color w:val="333333"/>
          <w:sz w:val="24"/>
          <w:szCs w:val="24"/>
          <w:u w:val="single"/>
          <w:shd w:val="clear" w:color="auto" w:fill="FFFFFF"/>
        </w:rPr>
        <w:t>11</w:t>
      </w:r>
      <w:r w:rsidR="001C2D18">
        <w:rPr>
          <w:rFonts w:ascii="Times New Roman" w:eastAsia="Calibri" w:hAnsi="Times New Roman" w:cs="Times New Roman"/>
          <w:b/>
          <w:bCs/>
          <w:color w:val="333333"/>
          <w:sz w:val="24"/>
          <w:szCs w:val="24"/>
          <w:u w:val="single"/>
          <w:shd w:val="clear" w:color="auto" w:fill="FFFFFF"/>
        </w:rPr>
        <w:t>:</w:t>
      </w:r>
    </w:p>
    <w:p w14:paraId="63D85F20" w14:textId="4F9C0405" w:rsidR="008B077F" w:rsidRDefault="00CE4C01" w:rsidP="007E7FD3">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 xml:space="preserve"> </w:t>
      </w:r>
      <w:r w:rsidR="008B077F" w:rsidRPr="008B077F">
        <w:rPr>
          <w:rFonts w:ascii="Times New Roman" w:eastAsia="Calibri" w:hAnsi="Times New Roman" w:cs="Times New Roman"/>
          <w:bCs/>
          <w:color w:val="333333"/>
          <w:sz w:val="24"/>
          <w:szCs w:val="24"/>
          <w:shd w:val="clear" w:color="auto" w:fill="FFFFFF"/>
        </w:rPr>
        <w:t xml:space="preserve">“New York’s Legislature does, however, uniquely pay a significant number of Legislators a stipend pursuant to §5-a of the Legislative Law.  New York pays out 160 special stipends ranging from $9,000 to $41,500.  </w:t>
      </w:r>
      <w:r w:rsidR="008B077F" w:rsidRPr="008B077F">
        <w:rPr>
          <w:rFonts w:ascii="Times New Roman" w:eastAsia="Calibri" w:hAnsi="Times New Roman" w:cs="Times New Roman"/>
          <w:bCs/>
          <w:color w:val="333333"/>
          <w:sz w:val="24"/>
          <w:szCs w:val="24"/>
          <w:shd w:val="clear" w:color="auto" w:fill="FFFFFF"/>
        </w:rPr>
        <w:lastRenderedPageBreak/>
        <w:t xml:space="preserve">Pennsylvania, by comparison, only pays 15 members a stipend, California pays only four.  It is the finding of this Committee that only those </w:t>
      </w:r>
      <w:proofErr w:type="gramStart"/>
      <w:r w:rsidR="008B077F" w:rsidRPr="008B077F">
        <w:rPr>
          <w:rFonts w:ascii="Times New Roman" w:eastAsia="Calibri" w:hAnsi="Times New Roman" w:cs="Times New Roman"/>
          <w:bCs/>
          <w:color w:val="333333"/>
          <w:sz w:val="24"/>
          <w:szCs w:val="24"/>
          <w:shd w:val="clear" w:color="auto" w:fill="FFFFFF"/>
        </w:rPr>
        <w:t>highest ranking</w:t>
      </w:r>
      <w:proofErr w:type="gramEnd"/>
      <w:r w:rsidR="008B077F" w:rsidRPr="008B077F">
        <w:rPr>
          <w:rFonts w:ascii="Times New Roman" w:eastAsia="Calibri" w:hAnsi="Times New Roman" w:cs="Times New Roman"/>
          <w:bCs/>
          <w:color w:val="333333"/>
          <w:sz w:val="24"/>
          <w:szCs w:val="24"/>
          <w:shd w:val="clear" w:color="auto" w:fill="FFFFFF"/>
        </w:rPr>
        <w:t xml:space="preserve"> officials with the level of duties commensurate to those positions in each house should receive a stipend, and the remainder should be folded into an increase in base pay.  This will create more equity amongst all 213 Legislators, more stability and transparency regarding legislative compensation and address certain ethical concerns associated with the stipends.  The reconfiguration of the balance between salary and stipend, in the overall compensation of Legislators, also complies within the statutory directive limiting the Committee to consideration of increases in compensation.” </w:t>
      </w:r>
    </w:p>
    <w:p w14:paraId="6A9FFB25" w14:textId="77777777" w:rsidR="007E7FD3" w:rsidRPr="008B077F" w:rsidRDefault="007E7FD3" w:rsidP="007E7FD3">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22A0235C" w14:textId="0B506F68" w:rsidR="00B779BC" w:rsidRDefault="008B077F" w:rsidP="00B14649">
      <w:pPr>
        <w:jc w:val="both"/>
        <w:rPr>
          <w:rFonts w:ascii="Times New Roman" w:eastAsia="Calibri" w:hAnsi="Times New Roman" w:cs="Times New Roman"/>
          <w:bCs/>
          <w:color w:val="333333"/>
          <w:sz w:val="24"/>
          <w:szCs w:val="24"/>
          <w:shd w:val="clear" w:color="auto" w:fill="FFFFFF"/>
        </w:rPr>
      </w:pPr>
      <w:r w:rsidRPr="008B077F">
        <w:rPr>
          <w:rFonts w:ascii="Times New Roman" w:eastAsia="Calibri" w:hAnsi="Times New Roman" w:cs="Times New Roman"/>
          <w:bCs/>
          <w:color w:val="333333"/>
          <w:sz w:val="24"/>
          <w:szCs w:val="24"/>
          <w:shd w:val="clear" w:color="auto" w:fill="FFFFFF"/>
        </w:rPr>
        <w:t>Th</w:t>
      </w:r>
      <w:r w:rsidR="00AC07A2">
        <w:rPr>
          <w:rFonts w:ascii="Times New Roman" w:eastAsia="Calibri" w:hAnsi="Times New Roman" w:cs="Times New Roman"/>
          <w:bCs/>
          <w:color w:val="333333"/>
          <w:sz w:val="24"/>
          <w:szCs w:val="24"/>
          <w:shd w:val="clear" w:color="auto" w:fill="FFFFFF"/>
        </w:rPr>
        <w:t>e “find[</w:t>
      </w:r>
      <w:proofErr w:type="spellStart"/>
      <w:r w:rsidR="00AC07A2">
        <w:rPr>
          <w:rFonts w:ascii="Times New Roman" w:eastAsia="Calibri" w:hAnsi="Times New Roman" w:cs="Times New Roman"/>
          <w:bCs/>
          <w:color w:val="333333"/>
          <w:sz w:val="24"/>
          <w:szCs w:val="24"/>
          <w:shd w:val="clear" w:color="auto" w:fill="FFFFFF"/>
        </w:rPr>
        <w:t>ing</w:t>
      </w:r>
      <w:proofErr w:type="spellEnd"/>
      <w:r w:rsidR="00AC07A2">
        <w:rPr>
          <w:rFonts w:ascii="Times New Roman" w:eastAsia="Calibri" w:hAnsi="Times New Roman" w:cs="Times New Roman"/>
          <w:bCs/>
          <w:color w:val="333333"/>
          <w:sz w:val="24"/>
          <w:szCs w:val="24"/>
          <w:shd w:val="clear" w:color="auto" w:fill="FFFFFF"/>
        </w:rPr>
        <w:t xml:space="preserve">]” </w:t>
      </w:r>
      <w:r w:rsidR="00BB1EFD">
        <w:rPr>
          <w:rFonts w:ascii="Times New Roman" w:eastAsia="Calibri" w:hAnsi="Times New Roman" w:cs="Times New Roman"/>
          <w:bCs/>
          <w:color w:val="333333"/>
          <w:sz w:val="24"/>
          <w:szCs w:val="24"/>
          <w:shd w:val="clear" w:color="auto" w:fill="FFFFFF"/>
        </w:rPr>
        <w:t xml:space="preserve">that stipends should be eliminated, </w:t>
      </w:r>
      <w:r w:rsidR="00FB3F84">
        <w:rPr>
          <w:rFonts w:ascii="Times New Roman" w:eastAsia="Calibri" w:hAnsi="Times New Roman" w:cs="Times New Roman"/>
          <w:bCs/>
          <w:color w:val="333333"/>
          <w:sz w:val="24"/>
          <w:szCs w:val="24"/>
          <w:shd w:val="clear" w:color="auto" w:fill="FFFFFF"/>
        </w:rPr>
        <w:t xml:space="preserve">except for </w:t>
      </w:r>
      <w:r w:rsidR="00B779BC">
        <w:rPr>
          <w:rFonts w:ascii="Times New Roman" w:eastAsia="Calibri" w:hAnsi="Times New Roman" w:cs="Times New Roman"/>
          <w:bCs/>
          <w:color w:val="333333"/>
          <w:sz w:val="24"/>
          <w:szCs w:val="24"/>
          <w:shd w:val="clear" w:color="auto" w:fill="FFFFFF"/>
        </w:rPr>
        <w:t xml:space="preserve">those paid to legislators filling the </w:t>
      </w:r>
      <w:r w:rsidR="00BB1EFD">
        <w:rPr>
          <w:rFonts w:ascii="Times New Roman" w:eastAsia="Calibri" w:hAnsi="Times New Roman" w:cs="Times New Roman"/>
          <w:bCs/>
          <w:color w:val="333333"/>
          <w:sz w:val="24"/>
          <w:szCs w:val="24"/>
          <w:shd w:val="clear" w:color="auto" w:fill="FFFFFF"/>
        </w:rPr>
        <w:t xml:space="preserve">highest and most demanding positions is beyond the Committee’s to make.  </w:t>
      </w:r>
      <w:r w:rsidR="00451158">
        <w:rPr>
          <w:rFonts w:ascii="Times New Roman" w:eastAsia="Calibri" w:hAnsi="Times New Roman" w:cs="Times New Roman"/>
          <w:bCs/>
          <w:color w:val="333333"/>
          <w:sz w:val="24"/>
          <w:szCs w:val="24"/>
          <w:shd w:val="clear" w:color="auto" w:fill="FFFFFF"/>
        </w:rPr>
        <w:t>Part HHH</w:t>
      </w:r>
      <w:r w:rsidR="007C4885">
        <w:rPr>
          <w:rFonts w:ascii="Times New Roman" w:eastAsia="Calibri" w:hAnsi="Times New Roman" w:cs="Times New Roman"/>
          <w:bCs/>
          <w:color w:val="333333"/>
          <w:sz w:val="24"/>
          <w:szCs w:val="24"/>
          <w:shd w:val="clear" w:color="auto" w:fill="FFFFFF"/>
        </w:rPr>
        <w:t xml:space="preserve"> did not give the Committee authority to recommend elimination of an</w:t>
      </w:r>
      <w:r w:rsidR="006E3A83">
        <w:rPr>
          <w:rFonts w:ascii="Times New Roman" w:eastAsia="Calibri" w:hAnsi="Times New Roman" w:cs="Times New Roman"/>
          <w:bCs/>
          <w:color w:val="333333"/>
          <w:sz w:val="24"/>
          <w:szCs w:val="24"/>
          <w:shd w:val="clear" w:color="auto" w:fill="FFFFFF"/>
        </w:rPr>
        <w:t xml:space="preserve">y </w:t>
      </w:r>
      <w:r w:rsidR="00FE4CB2">
        <w:rPr>
          <w:rFonts w:ascii="Times New Roman" w:eastAsia="Calibri" w:hAnsi="Times New Roman" w:cs="Times New Roman"/>
          <w:bCs/>
          <w:color w:val="333333"/>
          <w:sz w:val="24"/>
          <w:szCs w:val="24"/>
          <w:shd w:val="clear" w:color="auto" w:fill="FFFFFF"/>
        </w:rPr>
        <w:t xml:space="preserve">legislative </w:t>
      </w:r>
      <w:r w:rsidR="006E3A83">
        <w:rPr>
          <w:rFonts w:ascii="Times New Roman" w:eastAsia="Calibri" w:hAnsi="Times New Roman" w:cs="Times New Roman"/>
          <w:bCs/>
          <w:color w:val="333333"/>
          <w:sz w:val="24"/>
          <w:szCs w:val="24"/>
          <w:shd w:val="clear" w:color="auto" w:fill="FFFFFF"/>
        </w:rPr>
        <w:t>stipends – or to “reconfigure[e]…the balance between salary and stipend in the overall compensation of Legislat</w:t>
      </w:r>
      <w:r w:rsidR="00FE4CB2">
        <w:rPr>
          <w:rFonts w:ascii="Times New Roman" w:eastAsia="Calibri" w:hAnsi="Times New Roman" w:cs="Times New Roman"/>
          <w:bCs/>
          <w:color w:val="333333"/>
          <w:sz w:val="24"/>
          <w:szCs w:val="24"/>
          <w:shd w:val="clear" w:color="auto" w:fill="FFFFFF"/>
        </w:rPr>
        <w:t>ors”</w:t>
      </w:r>
      <w:r w:rsidR="006E3A83">
        <w:rPr>
          <w:rFonts w:ascii="Times New Roman" w:eastAsia="Calibri" w:hAnsi="Times New Roman" w:cs="Times New Roman"/>
          <w:bCs/>
          <w:color w:val="333333"/>
          <w:sz w:val="24"/>
          <w:szCs w:val="24"/>
          <w:shd w:val="clear" w:color="auto" w:fill="FFFFFF"/>
        </w:rPr>
        <w:t xml:space="preserve">. </w:t>
      </w:r>
      <w:r w:rsidR="00FE4CB2">
        <w:rPr>
          <w:rFonts w:ascii="Times New Roman" w:eastAsia="Calibri" w:hAnsi="Times New Roman" w:cs="Times New Roman"/>
          <w:bCs/>
          <w:color w:val="333333"/>
          <w:sz w:val="24"/>
          <w:szCs w:val="24"/>
          <w:shd w:val="clear" w:color="auto" w:fill="FFFFFF"/>
        </w:rPr>
        <w:t xml:space="preserve"> Rather, pursuant to </w:t>
      </w:r>
      <w:r w:rsidR="00FE4CB2" w:rsidRPr="008B077F">
        <w:rPr>
          <w:rFonts w:ascii="Times New Roman" w:eastAsia="Calibri" w:hAnsi="Times New Roman" w:cs="Times New Roman"/>
          <w:bCs/>
          <w:color w:val="333333"/>
          <w:sz w:val="24"/>
          <w:szCs w:val="24"/>
          <w:shd w:val="clear" w:color="auto" w:fill="FFFFFF"/>
        </w:rPr>
        <w:t>§§</w:t>
      </w:r>
      <w:r w:rsidR="00FE4CB2">
        <w:rPr>
          <w:rFonts w:ascii="Times New Roman" w:eastAsia="Calibri" w:hAnsi="Times New Roman" w:cs="Times New Roman"/>
          <w:bCs/>
          <w:color w:val="333333"/>
          <w:sz w:val="24"/>
          <w:szCs w:val="24"/>
          <w:shd w:val="clear" w:color="auto" w:fill="FFFFFF"/>
        </w:rPr>
        <w:t>1</w:t>
      </w:r>
      <w:r w:rsidR="004C0563">
        <w:rPr>
          <w:rFonts w:ascii="Times New Roman" w:eastAsia="Calibri" w:hAnsi="Times New Roman" w:cs="Times New Roman"/>
          <w:bCs/>
          <w:color w:val="333333"/>
          <w:sz w:val="24"/>
          <w:szCs w:val="24"/>
          <w:shd w:val="clear" w:color="auto" w:fill="FFFFFF"/>
        </w:rPr>
        <w:t xml:space="preserve"> and</w:t>
      </w:r>
      <w:r w:rsidR="00FE4CB2">
        <w:rPr>
          <w:rFonts w:ascii="Times New Roman" w:eastAsia="Calibri" w:hAnsi="Times New Roman" w:cs="Times New Roman"/>
          <w:bCs/>
          <w:color w:val="333333"/>
          <w:sz w:val="24"/>
          <w:szCs w:val="24"/>
          <w:shd w:val="clear" w:color="auto" w:fill="FFFFFF"/>
        </w:rPr>
        <w:t xml:space="preserve"> 2</w:t>
      </w:r>
      <w:r w:rsidR="00451158">
        <w:rPr>
          <w:rFonts w:ascii="Times New Roman" w:eastAsia="Calibri" w:hAnsi="Times New Roman" w:cs="Times New Roman"/>
          <w:bCs/>
          <w:color w:val="333333"/>
          <w:sz w:val="24"/>
          <w:szCs w:val="24"/>
          <w:shd w:val="clear" w:color="auto" w:fill="FFFFFF"/>
        </w:rPr>
        <w:t>,</w:t>
      </w:r>
      <w:r w:rsidR="00FE4CB2">
        <w:rPr>
          <w:rFonts w:ascii="Times New Roman" w:eastAsia="Calibri" w:hAnsi="Times New Roman" w:cs="Times New Roman"/>
          <w:bCs/>
          <w:color w:val="333333"/>
          <w:sz w:val="24"/>
          <w:szCs w:val="24"/>
          <w:shd w:val="clear" w:color="auto" w:fill="FFFFFF"/>
        </w:rPr>
        <w:t xml:space="preserve"> </w:t>
      </w:r>
      <w:r w:rsidR="0071546D">
        <w:rPr>
          <w:rFonts w:ascii="Times New Roman" w:eastAsia="Calibri" w:hAnsi="Times New Roman" w:cs="Times New Roman"/>
          <w:bCs/>
          <w:color w:val="333333"/>
          <w:sz w:val="24"/>
          <w:szCs w:val="24"/>
          <w:shd w:val="clear" w:color="auto" w:fill="FFFFFF"/>
        </w:rPr>
        <w:t xml:space="preserve">the Committee’s charge </w:t>
      </w:r>
      <w:r w:rsidR="00FE4CB2">
        <w:rPr>
          <w:rFonts w:ascii="Times New Roman" w:eastAsia="Calibri" w:hAnsi="Times New Roman" w:cs="Times New Roman"/>
          <w:bCs/>
          <w:color w:val="333333"/>
          <w:sz w:val="24"/>
          <w:szCs w:val="24"/>
          <w:shd w:val="clear" w:color="auto" w:fill="FFFFFF"/>
        </w:rPr>
        <w:t xml:space="preserve">was limited to the adequacy of “allowances pursuant to section 5-a of the legislative law” for purposes of determining whether increases were warranted.  </w:t>
      </w:r>
    </w:p>
    <w:p w14:paraId="5563DE76" w14:textId="24486F36" w:rsidR="00B14649" w:rsidRPr="009E4BA4" w:rsidRDefault="004C0563" w:rsidP="0042137E">
      <w:pPr>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Not referred-to by this paragraph is that th</w:t>
      </w:r>
      <w:r w:rsidR="00FB3F84">
        <w:rPr>
          <w:rFonts w:ascii="Times New Roman" w:eastAsia="Calibri" w:hAnsi="Times New Roman" w:cs="Times New Roman"/>
          <w:bCs/>
          <w:color w:val="333333"/>
          <w:sz w:val="24"/>
          <w:szCs w:val="24"/>
          <w:shd w:val="clear" w:color="auto" w:fill="FFFFFF"/>
        </w:rPr>
        <w:t>e Committee purports to justify its “Recommendation on Stipends” in a 2-1/</w:t>
      </w:r>
      <w:proofErr w:type="gramStart"/>
      <w:r w:rsidR="00FB3F84">
        <w:rPr>
          <w:rFonts w:ascii="Times New Roman" w:eastAsia="Calibri" w:hAnsi="Times New Roman" w:cs="Times New Roman"/>
          <w:bCs/>
          <w:color w:val="333333"/>
          <w:sz w:val="24"/>
          <w:szCs w:val="24"/>
          <w:shd w:val="clear" w:color="auto" w:fill="FFFFFF"/>
        </w:rPr>
        <w:t>2</w:t>
      </w:r>
      <w:r w:rsidR="00DF4743">
        <w:rPr>
          <w:rFonts w:ascii="Times New Roman" w:eastAsia="Calibri" w:hAnsi="Times New Roman" w:cs="Times New Roman"/>
          <w:bCs/>
          <w:color w:val="333333"/>
          <w:sz w:val="24"/>
          <w:szCs w:val="24"/>
          <w:shd w:val="clear" w:color="auto" w:fill="FFFFFF"/>
        </w:rPr>
        <w:t xml:space="preserve"> </w:t>
      </w:r>
      <w:r w:rsidR="00FB3F84">
        <w:rPr>
          <w:rFonts w:ascii="Times New Roman" w:eastAsia="Calibri" w:hAnsi="Times New Roman" w:cs="Times New Roman"/>
          <w:bCs/>
          <w:color w:val="333333"/>
          <w:sz w:val="24"/>
          <w:szCs w:val="24"/>
          <w:shd w:val="clear" w:color="auto" w:fill="FFFFFF"/>
        </w:rPr>
        <w:t>page</w:t>
      </w:r>
      <w:proofErr w:type="gramEnd"/>
      <w:r w:rsidR="00FB3F84">
        <w:rPr>
          <w:rFonts w:ascii="Times New Roman" w:eastAsia="Calibri" w:hAnsi="Times New Roman" w:cs="Times New Roman"/>
          <w:bCs/>
          <w:color w:val="333333"/>
          <w:sz w:val="24"/>
          <w:szCs w:val="24"/>
          <w:shd w:val="clear" w:color="auto" w:fill="FFFFFF"/>
        </w:rPr>
        <w:t xml:space="preserve"> section </w:t>
      </w:r>
      <w:r w:rsidR="00451158">
        <w:rPr>
          <w:rFonts w:ascii="Times New Roman" w:eastAsia="Calibri" w:hAnsi="Times New Roman" w:cs="Times New Roman"/>
          <w:bCs/>
          <w:color w:val="333333"/>
          <w:sz w:val="24"/>
          <w:szCs w:val="24"/>
          <w:shd w:val="clear" w:color="auto" w:fill="FFFFFF"/>
        </w:rPr>
        <w:t>under the title heading</w:t>
      </w:r>
      <w:r w:rsidR="00FB3F84">
        <w:rPr>
          <w:rFonts w:ascii="Times New Roman" w:eastAsia="Calibri" w:hAnsi="Times New Roman" w:cs="Times New Roman"/>
          <w:bCs/>
          <w:color w:val="333333"/>
          <w:sz w:val="24"/>
          <w:szCs w:val="24"/>
          <w:shd w:val="clear" w:color="auto" w:fill="FFFFFF"/>
        </w:rPr>
        <w:t xml:space="preserve"> “</w:t>
      </w:r>
      <w:r w:rsidR="00B14649">
        <w:rPr>
          <w:rFonts w:ascii="Times New Roman" w:eastAsia="Calibri" w:hAnsi="Times New Roman" w:cs="Times New Roman"/>
          <w:bCs/>
          <w:color w:val="333333"/>
          <w:sz w:val="24"/>
          <w:szCs w:val="24"/>
          <w:shd w:val="clear" w:color="auto" w:fill="FFFFFF"/>
        </w:rPr>
        <w:t xml:space="preserve">Statement in Support” </w:t>
      </w:r>
      <w:r w:rsidR="00B14649" w:rsidRPr="00B14649">
        <w:rPr>
          <w:rFonts w:ascii="Times New Roman" w:eastAsia="Calibri" w:hAnsi="Times New Roman" w:cs="Times New Roman"/>
          <w:bCs/>
          <w:color w:val="333333"/>
          <w:sz w:val="24"/>
          <w:szCs w:val="24"/>
          <w:shd w:val="clear" w:color="auto" w:fill="FFFFFF"/>
        </w:rPr>
        <w:t>(at pp. 18 - 20)</w:t>
      </w:r>
      <w:r w:rsidR="0042137E">
        <w:rPr>
          <w:rFonts w:ascii="Times New Roman" w:eastAsia="Calibri" w:hAnsi="Times New Roman" w:cs="Times New Roman"/>
          <w:bCs/>
          <w:color w:val="333333"/>
          <w:sz w:val="24"/>
          <w:szCs w:val="24"/>
          <w:shd w:val="clear" w:color="auto" w:fill="FFFFFF"/>
        </w:rPr>
        <w:t xml:space="preserve"> – and its deceit is particularized at pages   herein</w:t>
      </w:r>
      <w:r w:rsidR="00451158">
        <w:rPr>
          <w:rFonts w:ascii="Times New Roman" w:eastAsia="Calibri" w:hAnsi="Times New Roman" w:cs="Times New Roman"/>
          <w:bCs/>
          <w:color w:val="333333"/>
          <w:sz w:val="24"/>
          <w:szCs w:val="24"/>
          <w:shd w:val="clear" w:color="auto" w:fill="FFFFFF"/>
        </w:rPr>
        <w:t xml:space="preserve">.   </w:t>
      </w:r>
    </w:p>
    <w:p w14:paraId="3F9F1366" w14:textId="66F6017B" w:rsidR="002B2D4A" w:rsidRPr="00451158" w:rsidRDefault="002B2D4A" w:rsidP="00451158">
      <w:pPr>
        <w:spacing w:after="0" w:line="240" w:lineRule="auto"/>
        <w:ind w:right="1152"/>
        <w:jc w:val="both"/>
        <w:rPr>
          <w:rFonts w:ascii="Times New Roman" w:eastAsia="Calibri" w:hAnsi="Times New Roman" w:cs="Times New Roman"/>
          <w:bCs/>
          <w:color w:val="333333"/>
          <w:sz w:val="24"/>
          <w:szCs w:val="24"/>
          <w:shd w:val="clear" w:color="auto" w:fill="FFFFFF"/>
        </w:rPr>
      </w:pPr>
      <w:r w:rsidRPr="00451158">
        <w:rPr>
          <w:rFonts w:ascii="Times New Roman" w:eastAsia="Calibri" w:hAnsi="Times New Roman" w:cs="Times New Roman"/>
          <w:b/>
          <w:bCs/>
          <w:color w:val="333333"/>
          <w:sz w:val="24"/>
          <w:szCs w:val="24"/>
          <w:u w:val="single"/>
          <w:shd w:val="clear" w:color="auto" w:fill="FFFFFF"/>
        </w:rPr>
        <w:t>Paragraphs #12-14</w:t>
      </w:r>
      <w:r w:rsidRPr="00451158">
        <w:rPr>
          <w:rFonts w:ascii="Times New Roman" w:eastAsia="Calibri" w:hAnsi="Times New Roman" w:cs="Times New Roman"/>
          <w:bCs/>
          <w:color w:val="333333"/>
          <w:sz w:val="24"/>
          <w:szCs w:val="24"/>
          <w:shd w:val="clear" w:color="auto" w:fill="FFFFFF"/>
        </w:rPr>
        <w:t>:</w:t>
      </w:r>
    </w:p>
    <w:p w14:paraId="34F2D5C2" w14:textId="77777777" w:rsidR="002B2D4A" w:rsidRPr="003A2A2F" w:rsidRDefault="002B2D4A" w:rsidP="00EE49A7">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50BBE74D" w14:textId="140E31D9" w:rsidR="0007112A" w:rsidRDefault="0007112A" w:rsidP="00EE49A7">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“As part of this process, many individuals and organizations have called on this committee to ban outside income for Legislators.  </w:t>
      </w:r>
      <w:r w:rsidRPr="00C929B0">
        <w:rPr>
          <w:rFonts w:ascii="Times New Roman" w:eastAsia="Calibri" w:hAnsi="Times New Roman" w:cs="Times New Roman"/>
          <w:b/>
          <w:bCs/>
          <w:color w:val="333333"/>
          <w:sz w:val="24"/>
          <w:szCs w:val="24"/>
          <w:shd w:val="clear" w:color="auto" w:fill="FFFFFF"/>
        </w:rPr>
        <w:t>The Committee was statutorily charged with reviewing other mechanisms of compensation nationally and in other states.</w:t>
      </w:r>
      <w:r>
        <w:rPr>
          <w:rFonts w:ascii="Times New Roman" w:eastAsia="Calibri" w:hAnsi="Times New Roman" w:cs="Times New Roman"/>
          <w:bCs/>
          <w:color w:val="333333"/>
          <w:sz w:val="24"/>
          <w:szCs w:val="24"/>
          <w:shd w:val="clear" w:color="auto" w:fill="FFFFFF"/>
        </w:rPr>
        <w:t xml:space="preserve">  This Committee finds that the Congressional model employed to limit outside income and potential conflicts of interest is best</w:t>
      </w:r>
      <w:bookmarkStart w:id="11" w:name="_Hlk534412778"/>
      <w:r>
        <w:rPr>
          <w:rFonts w:ascii="Times New Roman" w:eastAsia="Calibri" w:hAnsi="Times New Roman" w:cs="Times New Roman"/>
          <w:bCs/>
          <w:color w:val="333333"/>
          <w:sz w:val="24"/>
          <w:szCs w:val="24"/>
          <w:shd w:val="clear" w:color="auto" w:fill="FFFFFF"/>
        </w:rPr>
        <w:t xml:space="preserve">.  Applying this  model to limit receipt of outside earned income will eliminate both the perception of </w:t>
      </w:r>
      <w:r w:rsidR="00066A0D">
        <w:rPr>
          <w:rFonts w:ascii="Times New Roman" w:eastAsia="Calibri" w:hAnsi="Times New Roman" w:cs="Times New Roman"/>
          <w:bCs/>
          <w:color w:val="333333"/>
          <w:sz w:val="24"/>
          <w:szCs w:val="24"/>
          <w:shd w:val="clear" w:color="auto" w:fill="FFFFFF"/>
        </w:rPr>
        <w:t xml:space="preserve">and </w:t>
      </w:r>
      <w:r>
        <w:rPr>
          <w:rFonts w:ascii="Times New Roman" w:eastAsia="Calibri" w:hAnsi="Times New Roman" w:cs="Times New Roman"/>
          <w:bCs/>
          <w:color w:val="333333"/>
          <w:sz w:val="24"/>
          <w:szCs w:val="24"/>
          <w:shd w:val="clear" w:color="auto" w:fill="FFFFFF"/>
        </w:rPr>
        <w:t xml:space="preserve">any actual conflicts of interest amongst the membership of the two houses.  </w:t>
      </w:r>
      <w:bookmarkEnd w:id="11"/>
      <w:r>
        <w:rPr>
          <w:rFonts w:ascii="Times New Roman" w:eastAsia="Calibri" w:hAnsi="Times New Roman" w:cs="Times New Roman"/>
          <w:bCs/>
          <w:color w:val="333333"/>
          <w:sz w:val="24"/>
          <w:szCs w:val="24"/>
          <w:shd w:val="clear" w:color="auto" w:fill="FFFFFF"/>
        </w:rPr>
        <w:t xml:space="preserve">Further, by completely eliminating outside earned income in those areas of </w:t>
      </w:r>
      <w:r w:rsidR="0032516F">
        <w:rPr>
          <w:rFonts w:ascii="Times New Roman" w:eastAsia="Calibri" w:hAnsi="Times New Roman" w:cs="Times New Roman"/>
          <w:bCs/>
          <w:color w:val="333333"/>
          <w:sz w:val="24"/>
          <w:szCs w:val="24"/>
          <w:shd w:val="clear" w:color="auto" w:fill="FFFFFF"/>
        </w:rPr>
        <w:t>e</w:t>
      </w:r>
      <w:r>
        <w:rPr>
          <w:rFonts w:ascii="Times New Roman" w:eastAsia="Calibri" w:hAnsi="Times New Roman" w:cs="Times New Roman"/>
          <w:bCs/>
          <w:color w:val="333333"/>
          <w:sz w:val="24"/>
          <w:szCs w:val="24"/>
          <w:shd w:val="clear" w:color="auto" w:fill="FFFFFF"/>
        </w:rPr>
        <w:t xml:space="preserve">mployment set forth in the Congressional rules (which include, but are not limited to, instances of fiduciary relationship by service on a board of a company whether for-profit or not-for-profit, service as an attorney, financial advisor, and consultant), it eliminates the possibility </w:t>
      </w:r>
      <w:r w:rsidR="0032516F">
        <w:rPr>
          <w:rFonts w:ascii="Times New Roman" w:eastAsia="Calibri" w:hAnsi="Times New Roman" w:cs="Times New Roman"/>
          <w:bCs/>
          <w:color w:val="333333"/>
          <w:sz w:val="24"/>
          <w:szCs w:val="24"/>
          <w:shd w:val="clear" w:color="auto" w:fill="FFFFFF"/>
        </w:rPr>
        <w:t>for the public to question whether the citizens of this State are being properly served.  Speaker Heastie was the only legislative leader to address this committee and he expressed an openness and willingness to consider such a proposal.  Temporary President-elect Andrea Stewart-Cousins did not address this Committee, however she noted on December 6 in a public statement that she and her colleagues in the Democratic Conference have pushed to adopt the Congressional model.”</w:t>
      </w:r>
      <w:r w:rsidR="00734270">
        <w:rPr>
          <w:rFonts w:ascii="Times New Roman" w:eastAsia="Calibri" w:hAnsi="Times New Roman" w:cs="Times New Roman"/>
          <w:bCs/>
          <w:color w:val="333333"/>
          <w:sz w:val="24"/>
          <w:szCs w:val="24"/>
          <w:shd w:val="clear" w:color="auto" w:fill="FFFFFF"/>
        </w:rPr>
        <w:t xml:space="preserve">  (bold added).</w:t>
      </w:r>
    </w:p>
    <w:p w14:paraId="261137B4" w14:textId="7D92BBA5" w:rsidR="00E362FE" w:rsidRDefault="00E362FE" w:rsidP="00E362FE">
      <w:pPr>
        <w:spacing w:after="0" w:line="240" w:lineRule="auto"/>
        <w:ind w:right="1152"/>
        <w:jc w:val="both"/>
        <w:rPr>
          <w:rFonts w:ascii="Times New Roman" w:eastAsia="Calibri" w:hAnsi="Times New Roman" w:cs="Times New Roman"/>
          <w:bCs/>
          <w:color w:val="333333"/>
          <w:sz w:val="24"/>
          <w:szCs w:val="24"/>
          <w:shd w:val="clear" w:color="auto" w:fill="FFFFFF"/>
        </w:rPr>
      </w:pPr>
    </w:p>
    <w:p w14:paraId="73E3DBD6" w14:textId="64C4DFCE" w:rsidR="0032516F" w:rsidRDefault="0032516F" w:rsidP="00C52663">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lastRenderedPageBreak/>
        <w:t>“</w:t>
      </w:r>
      <w:proofErr w:type="gramStart"/>
      <w:r>
        <w:rPr>
          <w:rFonts w:ascii="Times New Roman" w:eastAsia="Calibri" w:hAnsi="Times New Roman" w:cs="Times New Roman"/>
          <w:bCs/>
          <w:color w:val="333333"/>
          <w:sz w:val="24"/>
          <w:szCs w:val="24"/>
          <w:shd w:val="clear" w:color="auto" w:fill="FFFFFF"/>
        </w:rPr>
        <w:t>Therefore</w:t>
      </w:r>
      <w:proofErr w:type="gramEnd"/>
      <w:r>
        <w:rPr>
          <w:rFonts w:ascii="Times New Roman" w:eastAsia="Calibri" w:hAnsi="Times New Roman" w:cs="Times New Roman"/>
          <w:bCs/>
          <w:color w:val="333333"/>
          <w:sz w:val="24"/>
          <w:szCs w:val="24"/>
          <w:shd w:val="clear" w:color="auto" w:fill="FFFFFF"/>
        </w:rPr>
        <w:t xml:space="preserve"> the Committee fin</w:t>
      </w:r>
      <w:r w:rsidR="00E35F34">
        <w:rPr>
          <w:rFonts w:ascii="Times New Roman" w:eastAsia="Calibri" w:hAnsi="Times New Roman" w:cs="Times New Roman"/>
          <w:bCs/>
          <w:color w:val="333333"/>
          <w:sz w:val="24"/>
          <w:szCs w:val="24"/>
          <w:shd w:val="clear" w:color="auto" w:fill="FFFFFF"/>
        </w:rPr>
        <w:t>d</w:t>
      </w:r>
      <w:r>
        <w:rPr>
          <w:rFonts w:ascii="Times New Roman" w:eastAsia="Calibri" w:hAnsi="Times New Roman" w:cs="Times New Roman"/>
          <w:bCs/>
          <w:color w:val="333333"/>
          <w:sz w:val="24"/>
          <w:szCs w:val="24"/>
          <w:shd w:val="clear" w:color="auto" w:fill="FFFFFF"/>
        </w:rPr>
        <w:t>s that the consideration of compensation cannot be complete without considering outside income, its role in overall compensation and the ability of Legislators to fulfill their responsibilities to serve the public in a focused and ethical manner.</w:t>
      </w:r>
      <w:r w:rsidR="00E35F34">
        <w:rPr>
          <w:rFonts w:ascii="Times New Roman" w:eastAsia="Calibri" w:hAnsi="Times New Roman" w:cs="Times New Roman"/>
          <w:bCs/>
          <w:color w:val="333333"/>
          <w:sz w:val="24"/>
          <w:szCs w:val="24"/>
          <w:shd w:val="clear" w:color="auto" w:fill="FFFFFF"/>
        </w:rPr>
        <w:t xml:space="preserve">  Accordingly, as part of a compensation framework for Legislators, the Committee determined to limit outside earned income to en</w:t>
      </w:r>
      <w:r w:rsidR="006A16C4">
        <w:rPr>
          <w:rFonts w:ascii="Times New Roman" w:eastAsia="Calibri" w:hAnsi="Times New Roman" w:cs="Times New Roman"/>
          <w:bCs/>
          <w:color w:val="333333"/>
          <w:sz w:val="24"/>
          <w:szCs w:val="24"/>
          <w:shd w:val="clear" w:color="auto" w:fill="FFFFFF"/>
        </w:rPr>
        <w:t>s</w:t>
      </w:r>
      <w:r w:rsidR="00E35F34">
        <w:rPr>
          <w:rFonts w:ascii="Times New Roman" w:eastAsia="Calibri" w:hAnsi="Times New Roman" w:cs="Times New Roman"/>
          <w:bCs/>
          <w:color w:val="333333"/>
          <w:sz w:val="24"/>
          <w:szCs w:val="24"/>
          <w:shd w:val="clear" w:color="auto" w:fill="FFFFFF"/>
        </w:rPr>
        <w:t>ure that Legislators devote the appropriate time and energy to fulfilling their Constitutional obligations and to also minimize the possibility and perception of conflicts.  The Committee finds and determines that a complete ban on any outside income would restrict access to these positions, and the limitation on outside earned income is sufficient to prevent avoidable conflicts of interest.”</w:t>
      </w:r>
    </w:p>
    <w:p w14:paraId="54591E06" w14:textId="79E1B17B" w:rsidR="00E35F34" w:rsidRDefault="00E35F34" w:rsidP="0007355A">
      <w:pPr>
        <w:spacing w:after="0"/>
        <w:ind w:right="720"/>
        <w:jc w:val="both"/>
        <w:rPr>
          <w:rFonts w:ascii="Times New Roman" w:eastAsia="Calibri" w:hAnsi="Times New Roman" w:cs="Times New Roman"/>
          <w:bCs/>
          <w:color w:val="333333"/>
          <w:sz w:val="24"/>
          <w:szCs w:val="24"/>
          <w:shd w:val="clear" w:color="auto" w:fill="FFFFFF"/>
        </w:rPr>
      </w:pPr>
    </w:p>
    <w:p w14:paraId="1FBD457C" w14:textId="5A98F1D1" w:rsidR="00E35F34" w:rsidRDefault="00E35F34" w:rsidP="00055E40">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“Accordingly, as of January 1, 2020, the Congressional model prohibition on outside income from certain professions and a cap on proceeds from outside employment shall apply to the legislature.  Where employment is not prohibited, there shall be an earn</w:t>
      </w:r>
      <w:r w:rsidR="007B268A">
        <w:rPr>
          <w:rFonts w:ascii="Times New Roman" w:eastAsia="Calibri" w:hAnsi="Times New Roman" w:cs="Times New Roman"/>
          <w:bCs/>
          <w:color w:val="333333"/>
          <w:sz w:val="24"/>
          <w:szCs w:val="24"/>
          <w:shd w:val="clear" w:color="auto" w:fill="FFFFFF"/>
        </w:rPr>
        <w:t>ed income limit of 15% of legislative base salary, to be implemented analogously to the cap on Congressional outside income.  For 2020, the limitations on outside earned income shall be $18,000.  The Committee recognizes that a small number of Legislators have existing obligations and therefore provides this one-year window for Legislators to come into compliance.  Furthermore, the Committee believes that the existing guidance and interpretation available under the Congressional model should serve as a guide to implementation of these restrictions in New York.”</w:t>
      </w:r>
    </w:p>
    <w:p w14:paraId="30AB0D3D" w14:textId="2D279E80" w:rsidR="007B268A" w:rsidRDefault="007B268A" w:rsidP="0007355A">
      <w:pPr>
        <w:spacing w:after="0"/>
        <w:ind w:right="720"/>
        <w:jc w:val="both"/>
        <w:rPr>
          <w:rFonts w:ascii="Times New Roman" w:eastAsia="Calibri" w:hAnsi="Times New Roman" w:cs="Times New Roman"/>
          <w:bCs/>
          <w:color w:val="333333"/>
          <w:sz w:val="24"/>
          <w:szCs w:val="24"/>
          <w:shd w:val="clear" w:color="auto" w:fill="FFFFFF"/>
        </w:rPr>
      </w:pPr>
    </w:p>
    <w:p w14:paraId="623A0503" w14:textId="55A124FB" w:rsidR="007C4885" w:rsidRDefault="007C4885" w:rsidP="002B2D4A">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w:t>
      </w:r>
      <w:r w:rsidR="00C4374F">
        <w:rPr>
          <w:rFonts w:ascii="Times New Roman" w:eastAsia="Calibri" w:hAnsi="Times New Roman" w:cs="Times New Roman"/>
          <w:bCs/>
          <w:color w:val="333333"/>
          <w:sz w:val="24"/>
          <w:szCs w:val="24"/>
          <w:shd w:val="clear" w:color="auto" w:fill="FFFFFF"/>
        </w:rPr>
        <w:t xml:space="preserve">ese </w:t>
      </w:r>
      <w:r w:rsidR="002B2D4A">
        <w:rPr>
          <w:rFonts w:ascii="Times New Roman" w:eastAsia="Calibri" w:hAnsi="Times New Roman" w:cs="Times New Roman"/>
          <w:bCs/>
          <w:color w:val="333333"/>
          <w:sz w:val="24"/>
          <w:szCs w:val="24"/>
          <w:shd w:val="clear" w:color="auto" w:fill="FFFFFF"/>
        </w:rPr>
        <w:t xml:space="preserve">three </w:t>
      </w:r>
      <w:r w:rsidR="00C4374F">
        <w:rPr>
          <w:rFonts w:ascii="Times New Roman" w:eastAsia="Calibri" w:hAnsi="Times New Roman" w:cs="Times New Roman"/>
          <w:bCs/>
          <w:color w:val="333333"/>
          <w:sz w:val="24"/>
          <w:szCs w:val="24"/>
          <w:shd w:val="clear" w:color="auto" w:fill="FFFFFF"/>
        </w:rPr>
        <w:t>paragraphs</w:t>
      </w:r>
      <w:r w:rsidR="00451158">
        <w:rPr>
          <w:rFonts w:ascii="Times New Roman" w:eastAsia="Calibri" w:hAnsi="Times New Roman" w:cs="Times New Roman"/>
          <w:bCs/>
          <w:color w:val="333333"/>
          <w:sz w:val="24"/>
          <w:szCs w:val="24"/>
          <w:shd w:val="clear" w:color="auto" w:fill="FFFFFF"/>
        </w:rPr>
        <w:t xml:space="preserve">, pertaining to </w:t>
      </w:r>
      <w:r w:rsidR="0042137E">
        <w:rPr>
          <w:rFonts w:ascii="Times New Roman" w:eastAsia="Calibri" w:hAnsi="Times New Roman" w:cs="Times New Roman"/>
          <w:bCs/>
          <w:color w:val="333333"/>
          <w:sz w:val="24"/>
          <w:szCs w:val="24"/>
          <w:shd w:val="clear" w:color="auto" w:fill="FFFFFF"/>
        </w:rPr>
        <w:t xml:space="preserve">legislators’ </w:t>
      </w:r>
      <w:r w:rsidR="00451158">
        <w:rPr>
          <w:rFonts w:ascii="Times New Roman" w:eastAsia="Calibri" w:hAnsi="Times New Roman" w:cs="Times New Roman"/>
          <w:bCs/>
          <w:color w:val="333333"/>
          <w:sz w:val="24"/>
          <w:szCs w:val="24"/>
          <w:shd w:val="clear" w:color="auto" w:fill="FFFFFF"/>
        </w:rPr>
        <w:t>outside income,</w:t>
      </w:r>
      <w:r w:rsidR="00C4374F">
        <w:rPr>
          <w:rFonts w:ascii="Times New Roman" w:eastAsia="Calibri" w:hAnsi="Times New Roman" w:cs="Times New Roman"/>
          <w:bCs/>
          <w:color w:val="333333"/>
          <w:sz w:val="24"/>
          <w:szCs w:val="24"/>
          <w:shd w:val="clear" w:color="auto" w:fill="FFFFFF"/>
        </w:rPr>
        <w:t xml:space="preserve"> </w:t>
      </w:r>
      <w:r>
        <w:rPr>
          <w:rFonts w:ascii="Times New Roman" w:eastAsia="Calibri" w:hAnsi="Times New Roman" w:cs="Times New Roman"/>
          <w:bCs/>
          <w:color w:val="333333"/>
          <w:sz w:val="24"/>
          <w:szCs w:val="24"/>
          <w:shd w:val="clear" w:color="auto" w:fill="FFFFFF"/>
        </w:rPr>
        <w:t>rest on the fraud</w:t>
      </w:r>
      <w:r w:rsidR="003A2A2F">
        <w:rPr>
          <w:rFonts w:ascii="Times New Roman" w:eastAsia="Calibri" w:hAnsi="Times New Roman" w:cs="Times New Roman"/>
          <w:bCs/>
          <w:color w:val="333333"/>
          <w:sz w:val="24"/>
          <w:szCs w:val="24"/>
          <w:shd w:val="clear" w:color="auto" w:fill="FFFFFF"/>
        </w:rPr>
        <w:t>, in the second sentence of the first paragraph,</w:t>
      </w:r>
      <w:r>
        <w:rPr>
          <w:rFonts w:ascii="Times New Roman" w:eastAsia="Calibri" w:hAnsi="Times New Roman" w:cs="Times New Roman"/>
          <w:bCs/>
          <w:color w:val="333333"/>
          <w:sz w:val="24"/>
          <w:szCs w:val="24"/>
          <w:shd w:val="clear" w:color="auto" w:fill="FFFFFF"/>
        </w:rPr>
        <w:t xml:space="preserve"> that “[t]he Committee was statutorily charged with reviewing other mechanisms of compensation nationally and in other states”.    Nowhere does </w:t>
      </w:r>
      <w:r w:rsidR="00451158">
        <w:rPr>
          <w:rFonts w:ascii="Times New Roman" w:eastAsia="Calibri" w:hAnsi="Times New Roman" w:cs="Times New Roman"/>
          <w:bCs/>
          <w:color w:val="333333"/>
          <w:sz w:val="24"/>
          <w:szCs w:val="24"/>
          <w:shd w:val="clear" w:color="auto" w:fill="FFFFFF"/>
        </w:rPr>
        <w:t>Part HHH so-charge the Committee</w:t>
      </w:r>
      <w:r>
        <w:rPr>
          <w:rFonts w:ascii="Times New Roman" w:eastAsia="Calibri" w:hAnsi="Times New Roman" w:cs="Times New Roman"/>
          <w:bCs/>
          <w:color w:val="333333"/>
          <w:sz w:val="24"/>
          <w:szCs w:val="24"/>
          <w:shd w:val="clear" w:color="auto" w:fill="FFFFFF"/>
        </w:rPr>
        <w:t xml:space="preserve"> – and its provisions could not be clearer.   </w:t>
      </w:r>
      <w:bookmarkStart w:id="12" w:name="_Hlk534420110"/>
      <w:r w:rsidRPr="008B077F">
        <w:rPr>
          <w:rFonts w:ascii="Times New Roman" w:eastAsia="Calibri" w:hAnsi="Times New Roman" w:cs="Times New Roman"/>
          <w:bCs/>
          <w:color w:val="333333"/>
          <w:sz w:val="24"/>
          <w:szCs w:val="24"/>
          <w:shd w:val="clear" w:color="auto" w:fill="FFFFFF"/>
        </w:rPr>
        <w:t>§</w:t>
      </w:r>
      <w:bookmarkEnd w:id="12"/>
      <w:r>
        <w:rPr>
          <w:rFonts w:ascii="Times New Roman" w:eastAsia="Calibri" w:hAnsi="Times New Roman" w:cs="Times New Roman"/>
          <w:bCs/>
          <w:color w:val="333333"/>
          <w:sz w:val="24"/>
          <w:szCs w:val="24"/>
          <w:shd w:val="clear" w:color="auto" w:fill="FFFFFF"/>
        </w:rPr>
        <w:t xml:space="preserve">1 and </w:t>
      </w:r>
      <w:r w:rsidRPr="008B077F">
        <w:rPr>
          <w:rFonts w:ascii="Times New Roman" w:eastAsia="Calibri" w:hAnsi="Times New Roman" w:cs="Times New Roman"/>
          <w:bCs/>
          <w:color w:val="333333"/>
          <w:sz w:val="24"/>
          <w:szCs w:val="24"/>
          <w:shd w:val="clear" w:color="auto" w:fill="FFFFFF"/>
        </w:rPr>
        <w:t>§</w:t>
      </w:r>
      <w:r>
        <w:rPr>
          <w:rFonts w:ascii="Times New Roman" w:eastAsia="Calibri" w:hAnsi="Times New Roman" w:cs="Times New Roman"/>
          <w:bCs/>
          <w:color w:val="333333"/>
          <w:sz w:val="24"/>
          <w:szCs w:val="24"/>
          <w:shd w:val="clear" w:color="auto" w:fill="FFFFFF"/>
        </w:rPr>
        <w:t xml:space="preserve">2.1 </w:t>
      </w:r>
      <w:r w:rsidR="00C929B0">
        <w:rPr>
          <w:rFonts w:ascii="Times New Roman" w:eastAsia="Calibri" w:hAnsi="Times New Roman" w:cs="Times New Roman"/>
          <w:bCs/>
          <w:color w:val="333333"/>
          <w:sz w:val="24"/>
          <w:szCs w:val="24"/>
          <w:shd w:val="clear" w:color="auto" w:fill="FFFFFF"/>
        </w:rPr>
        <w:t xml:space="preserve">direct </w:t>
      </w:r>
      <w:r>
        <w:rPr>
          <w:rFonts w:ascii="Times New Roman" w:eastAsia="Calibri" w:hAnsi="Times New Roman" w:cs="Times New Roman"/>
          <w:bCs/>
          <w:color w:val="333333"/>
          <w:sz w:val="24"/>
          <w:szCs w:val="24"/>
          <w:shd w:val="clear" w:color="auto" w:fill="FFFFFF"/>
        </w:rPr>
        <w:t xml:space="preserve">the Committee </w:t>
      </w:r>
      <w:r w:rsidR="00C929B0">
        <w:rPr>
          <w:rFonts w:ascii="Times New Roman" w:eastAsia="Calibri" w:hAnsi="Times New Roman" w:cs="Times New Roman"/>
          <w:bCs/>
          <w:color w:val="333333"/>
          <w:sz w:val="24"/>
          <w:szCs w:val="24"/>
          <w:shd w:val="clear" w:color="auto" w:fill="FFFFFF"/>
        </w:rPr>
        <w:t xml:space="preserve">to examine </w:t>
      </w:r>
      <w:r>
        <w:rPr>
          <w:rFonts w:ascii="Times New Roman" w:eastAsia="Calibri" w:hAnsi="Times New Roman" w:cs="Times New Roman"/>
          <w:bCs/>
          <w:color w:val="333333"/>
          <w:sz w:val="24"/>
          <w:szCs w:val="24"/>
          <w:shd w:val="clear" w:color="auto" w:fill="FFFFFF"/>
        </w:rPr>
        <w:t>“adequate levels of compensation” and “prevailing adequacy of pay levels</w:t>
      </w:r>
      <w:r w:rsidR="00C4374F">
        <w:rPr>
          <w:rFonts w:ascii="Times New Roman" w:eastAsia="Calibri" w:hAnsi="Times New Roman" w:cs="Times New Roman"/>
          <w:bCs/>
          <w:color w:val="333333"/>
          <w:sz w:val="24"/>
          <w:szCs w:val="24"/>
          <w:shd w:val="clear" w:color="auto" w:fill="FFFFFF"/>
        </w:rPr>
        <w:t>, allowances…and other non-salary benefits</w:t>
      </w:r>
      <w:r>
        <w:rPr>
          <w:rFonts w:ascii="Times New Roman" w:eastAsia="Calibri" w:hAnsi="Times New Roman" w:cs="Times New Roman"/>
          <w:bCs/>
          <w:color w:val="333333"/>
          <w:sz w:val="24"/>
          <w:szCs w:val="24"/>
          <w:shd w:val="clear" w:color="auto" w:fill="FFFFFF"/>
        </w:rPr>
        <w:t>”</w:t>
      </w:r>
      <w:r w:rsidR="003A2A2F">
        <w:rPr>
          <w:rFonts w:ascii="Times New Roman" w:eastAsia="Calibri" w:hAnsi="Times New Roman" w:cs="Times New Roman"/>
          <w:bCs/>
          <w:color w:val="333333"/>
          <w:sz w:val="24"/>
          <w:szCs w:val="24"/>
          <w:shd w:val="clear" w:color="auto" w:fill="FFFFFF"/>
        </w:rPr>
        <w:t xml:space="preserve"> – for the purpose, stated </w:t>
      </w:r>
      <w:r w:rsidR="002B2D4A">
        <w:rPr>
          <w:rFonts w:ascii="Times New Roman" w:eastAsia="Calibri" w:hAnsi="Times New Roman" w:cs="Times New Roman"/>
          <w:bCs/>
          <w:color w:val="333333"/>
          <w:sz w:val="24"/>
          <w:szCs w:val="24"/>
          <w:shd w:val="clear" w:color="auto" w:fill="FFFFFF"/>
        </w:rPr>
        <w:t xml:space="preserve">by </w:t>
      </w:r>
      <w:r w:rsidRPr="008B077F">
        <w:rPr>
          <w:rFonts w:ascii="Times New Roman" w:eastAsia="Calibri" w:hAnsi="Times New Roman" w:cs="Times New Roman"/>
          <w:bCs/>
          <w:color w:val="333333"/>
          <w:sz w:val="24"/>
          <w:szCs w:val="24"/>
          <w:shd w:val="clear" w:color="auto" w:fill="FFFFFF"/>
        </w:rPr>
        <w:t>§</w:t>
      </w:r>
      <w:r>
        <w:rPr>
          <w:rFonts w:ascii="Times New Roman" w:eastAsia="Calibri" w:hAnsi="Times New Roman" w:cs="Times New Roman"/>
          <w:bCs/>
          <w:color w:val="333333"/>
          <w:sz w:val="24"/>
          <w:szCs w:val="24"/>
          <w:shd w:val="clear" w:color="auto" w:fill="FFFFFF"/>
        </w:rPr>
        <w:t xml:space="preserve">2.2, </w:t>
      </w:r>
      <w:r w:rsidR="003A2A2F">
        <w:rPr>
          <w:rFonts w:ascii="Times New Roman" w:eastAsia="Calibri" w:hAnsi="Times New Roman" w:cs="Times New Roman"/>
          <w:bCs/>
          <w:color w:val="333333"/>
          <w:sz w:val="24"/>
          <w:szCs w:val="24"/>
          <w:shd w:val="clear" w:color="auto" w:fill="FFFFFF"/>
        </w:rPr>
        <w:t xml:space="preserve">of </w:t>
      </w:r>
      <w:r>
        <w:rPr>
          <w:rFonts w:ascii="Times New Roman" w:eastAsia="Calibri" w:hAnsi="Times New Roman" w:cs="Times New Roman"/>
          <w:bCs/>
          <w:color w:val="333333"/>
          <w:sz w:val="24"/>
          <w:szCs w:val="24"/>
          <w:shd w:val="clear" w:color="auto" w:fill="FFFFFF"/>
        </w:rPr>
        <w:t>“</w:t>
      </w:r>
      <w:proofErr w:type="spellStart"/>
      <w:r w:rsidR="003A2A2F">
        <w:rPr>
          <w:rFonts w:ascii="Times New Roman" w:eastAsia="Calibri" w:hAnsi="Times New Roman" w:cs="Times New Roman"/>
          <w:bCs/>
          <w:color w:val="333333"/>
          <w:sz w:val="24"/>
          <w:szCs w:val="24"/>
          <w:shd w:val="clear" w:color="auto" w:fill="FFFFFF"/>
        </w:rPr>
        <w:t>determin</w:t>
      </w:r>
      <w:proofErr w:type="spellEnd"/>
      <w:r w:rsidR="003A2A2F">
        <w:rPr>
          <w:rFonts w:ascii="Times New Roman" w:eastAsia="Calibri" w:hAnsi="Times New Roman" w:cs="Times New Roman"/>
          <w:bCs/>
          <w:color w:val="333333"/>
          <w:sz w:val="24"/>
          <w:szCs w:val="24"/>
          <w:shd w:val="clear" w:color="auto" w:fill="FFFFFF"/>
        </w:rPr>
        <w:t>[</w:t>
      </w:r>
      <w:proofErr w:type="spellStart"/>
      <w:r w:rsidR="003A2A2F">
        <w:rPr>
          <w:rFonts w:ascii="Times New Roman" w:eastAsia="Calibri" w:hAnsi="Times New Roman" w:cs="Times New Roman"/>
          <w:bCs/>
          <w:color w:val="333333"/>
          <w:sz w:val="24"/>
          <w:szCs w:val="24"/>
          <w:shd w:val="clear" w:color="auto" w:fill="FFFFFF"/>
        </w:rPr>
        <w:t>ing</w:t>
      </w:r>
      <w:proofErr w:type="spellEnd"/>
      <w:r w:rsidR="003A2A2F">
        <w:rPr>
          <w:rFonts w:ascii="Times New Roman" w:eastAsia="Calibri" w:hAnsi="Times New Roman" w:cs="Times New Roman"/>
          <w:bCs/>
          <w:color w:val="333333"/>
          <w:sz w:val="24"/>
          <w:szCs w:val="24"/>
          <w:shd w:val="clear" w:color="auto" w:fill="FFFFFF"/>
        </w:rPr>
        <w:t>]</w:t>
      </w:r>
      <w:r w:rsidR="002B2D4A">
        <w:rPr>
          <w:rFonts w:ascii="Times New Roman" w:eastAsia="Calibri" w:hAnsi="Times New Roman" w:cs="Times New Roman"/>
          <w:bCs/>
          <w:color w:val="333333"/>
          <w:sz w:val="24"/>
          <w:szCs w:val="24"/>
          <w:shd w:val="clear" w:color="auto" w:fill="FFFFFF"/>
        </w:rPr>
        <w:t xml:space="preserve"> </w:t>
      </w:r>
      <w:r>
        <w:rPr>
          <w:rFonts w:ascii="Times New Roman" w:eastAsia="Calibri" w:hAnsi="Times New Roman" w:cs="Times New Roman"/>
          <w:bCs/>
          <w:color w:val="333333"/>
          <w:sz w:val="24"/>
          <w:szCs w:val="24"/>
          <w:shd w:val="clear" w:color="auto" w:fill="FFFFFF"/>
        </w:rPr>
        <w:t>whether…salary and allowances…warrant an increase”</w:t>
      </w:r>
      <w:r w:rsidR="00C4374F">
        <w:rPr>
          <w:rFonts w:ascii="Times New Roman" w:eastAsia="Calibri" w:hAnsi="Times New Roman" w:cs="Times New Roman"/>
          <w:bCs/>
          <w:color w:val="333333"/>
          <w:sz w:val="24"/>
          <w:szCs w:val="24"/>
          <w:shd w:val="clear" w:color="auto" w:fill="FFFFFF"/>
        </w:rPr>
        <w:t xml:space="preserve">.   Indeed, </w:t>
      </w:r>
      <w:r w:rsidR="001A71F1">
        <w:rPr>
          <w:rFonts w:ascii="Times New Roman" w:eastAsia="Calibri" w:hAnsi="Times New Roman" w:cs="Times New Roman"/>
          <w:bCs/>
          <w:color w:val="333333"/>
          <w:sz w:val="24"/>
          <w:szCs w:val="24"/>
          <w:shd w:val="clear" w:color="auto" w:fill="FFFFFF"/>
        </w:rPr>
        <w:t xml:space="preserve"> the requirement in </w:t>
      </w:r>
      <w:r w:rsidRPr="008B077F">
        <w:rPr>
          <w:rFonts w:ascii="Times New Roman" w:eastAsia="Calibri" w:hAnsi="Times New Roman" w:cs="Times New Roman"/>
          <w:bCs/>
          <w:color w:val="333333"/>
          <w:sz w:val="24"/>
          <w:szCs w:val="24"/>
          <w:shd w:val="clear" w:color="auto" w:fill="FFFFFF"/>
        </w:rPr>
        <w:t>§</w:t>
      </w:r>
      <w:r w:rsidR="00451158">
        <w:rPr>
          <w:rFonts w:ascii="Times New Roman" w:eastAsia="Calibri" w:hAnsi="Times New Roman" w:cs="Times New Roman"/>
          <w:bCs/>
          <w:color w:val="333333"/>
          <w:sz w:val="24"/>
          <w:szCs w:val="24"/>
          <w:shd w:val="clear" w:color="auto" w:fill="FFFFFF"/>
        </w:rPr>
        <w:t>2.</w:t>
      </w:r>
      <w:r>
        <w:rPr>
          <w:rFonts w:ascii="Times New Roman" w:eastAsia="Calibri" w:hAnsi="Times New Roman" w:cs="Times New Roman"/>
          <w:bCs/>
          <w:color w:val="333333"/>
          <w:sz w:val="24"/>
          <w:szCs w:val="24"/>
          <w:shd w:val="clear" w:color="auto" w:fill="FFFFFF"/>
        </w:rPr>
        <w:t xml:space="preserve">3 </w:t>
      </w:r>
      <w:r w:rsidR="001A71F1">
        <w:rPr>
          <w:rFonts w:ascii="Times New Roman" w:eastAsia="Calibri" w:hAnsi="Times New Roman" w:cs="Times New Roman"/>
          <w:bCs/>
          <w:color w:val="333333"/>
          <w:sz w:val="24"/>
          <w:szCs w:val="24"/>
          <w:shd w:val="clear" w:color="auto" w:fill="FFFFFF"/>
        </w:rPr>
        <w:t xml:space="preserve">that </w:t>
      </w:r>
      <w:r w:rsidR="00C4374F">
        <w:rPr>
          <w:rFonts w:ascii="Times New Roman" w:eastAsia="Calibri" w:hAnsi="Times New Roman" w:cs="Times New Roman"/>
          <w:bCs/>
          <w:color w:val="333333"/>
          <w:sz w:val="24"/>
          <w:szCs w:val="24"/>
          <w:shd w:val="clear" w:color="auto" w:fill="FFFFFF"/>
        </w:rPr>
        <w:t xml:space="preserve">the Committee </w:t>
      </w:r>
      <w:r>
        <w:rPr>
          <w:rFonts w:ascii="Times New Roman" w:eastAsia="Calibri" w:hAnsi="Times New Roman" w:cs="Times New Roman"/>
          <w:bCs/>
          <w:color w:val="333333"/>
          <w:sz w:val="24"/>
          <w:szCs w:val="24"/>
          <w:shd w:val="clear" w:color="auto" w:fill="FFFFFF"/>
        </w:rPr>
        <w:t>“</w:t>
      </w:r>
      <w:proofErr w:type="gramStart"/>
      <w:r>
        <w:rPr>
          <w:rFonts w:ascii="Times New Roman" w:eastAsia="Calibri" w:hAnsi="Times New Roman" w:cs="Times New Roman"/>
          <w:bCs/>
          <w:color w:val="333333"/>
          <w:sz w:val="24"/>
          <w:szCs w:val="24"/>
          <w:shd w:val="clear" w:color="auto" w:fill="FFFFFF"/>
        </w:rPr>
        <w:t>take into account</w:t>
      </w:r>
      <w:proofErr w:type="gramEnd"/>
      <w:r>
        <w:rPr>
          <w:rFonts w:ascii="Times New Roman" w:eastAsia="Calibri" w:hAnsi="Times New Roman" w:cs="Times New Roman"/>
          <w:bCs/>
          <w:color w:val="333333"/>
          <w:sz w:val="24"/>
          <w:szCs w:val="24"/>
          <w:shd w:val="clear" w:color="auto" w:fill="FFFFFF"/>
        </w:rPr>
        <w:t xml:space="preserve"> all appropriate factors”</w:t>
      </w:r>
      <w:r w:rsidR="001A71F1">
        <w:rPr>
          <w:rFonts w:ascii="Times New Roman" w:eastAsia="Calibri" w:hAnsi="Times New Roman" w:cs="Times New Roman"/>
          <w:bCs/>
          <w:color w:val="333333"/>
          <w:sz w:val="24"/>
          <w:szCs w:val="24"/>
          <w:shd w:val="clear" w:color="auto" w:fill="FFFFFF"/>
        </w:rPr>
        <w:t xml:space="preserve"> is </w:t>
      </w:r>
      <w:r w:rsidR="006D4E75">
        <w:rPr>
          <w:rFonts w:ascii="Times New Roman" w:eastAsia="Calibri" w:hAnsi="Times New Roman" w:cs="Times New Roman"/>
          <w:bCs/>
          <w:color w:val="333333"/>
          <w:sz w:val="24"/>
          <w:szCs w:val="24"/>
          <w:shd w:val="clear" w:color="auto" w:fill="FFFFFF"/>
        </w:rPr>
        <w:t>expressly to enable it to “discharge[e] its responsibilities</w:t>
      </w:r>
      <w:r w:rsidR="002B2D4A">
        <w:rPr>
          <w:rFonts w:ascii="Times New Roman" w:eastAsia="Calibri" w:hAnsi="Times New Roman" w:cs="Times New Roman"/>
          <w:bCs/>
          <w:color w:val="333333"/>
          <w:sz w:val="24"/>
          <w:szCs w:val="24"/>
          <w:shd w:val="clear" w:color="auto" w:fill="FFFFFF"/>
        </w:rPr>
        <w:t xml:space="preserve">” pursuant to </w:t>
      </w:r>
      <w:r w:rsidR="002B2D4A" w:rsidRPr="008B077F">
        <w:rPr>
          <w:rFonts w:ascii="Times New Roman" w:eastAsia="Calibri" w:hAnsi="Times New Roman" w:cs="Times New Roman"/>
          <w:bCs/>
          <w:color w:val="333333"/>
          <w:sz w:val="24"/>
          <w:szCs w:val="24"/>
          <w:shd w:val="clear" w:color="auto" w:fill="FFFFFF"/>
        </w:rPr>
        <w:t>§</w:t>
      </w:r>
      <w:r w:rsidR="002B2D4A">
        <w:rPr>
          <w:rFonts w:ascii="Times New Roman" w:eastAsia="Calibri" w:hAnsi="Times New Roman" w:cs="Times New Roman"/>
          <w:bCs/>
          <w:color w:val="333333"/>
          <w:sz w:val="24"/>
          <w:szCs w:val="24"/>
          <w:shd w:val="clear" w:color="auto" w:fill="FFFFFF"/>
        </w:rPr>
        <w:t>2</w:t>
      </w:r>
      <w:r w:rsidR="00C929B0">
        <w:rPr>
          <w:rFonts w:ascii="Times New Roman" w:eastAsia="Calibri" w:hAnsi="Times New Roman" w:cs="Times New Roman"/>
          <w:bCs/>
          <w:color w:val="333333"/>
          <w:sz w:val="24"/>
          <w:szCs w:val="24"/>
          <w:shd w:val="clear" w:color="auto" w:fill="FFFFFF"/>
        </w:rPr>
        <w:t xml:space="preserve"> – and, thereby limited</w:t>
      </w:r>
      <w:r w:rsidR="002B2D4A">
        <w:rPr>
          <w:rFonts w:ascii="Times New Roman" w:eastAsia="Calibri" w:hAnsi="Times New Roman" w:cs="Times New Roman"/>
          <w:bCs/>
          <w:color w:val="333333"/>
          <w:sz w:val="24"/>
          <w:szCs w:val="24"/>
          <w:shd w:val="clear" w:color="auto" w:fill="FFFFFF"/>
        </w:rPr>
        <w:t>.</w:t>
      </w:r>
      <w:r>
        <w:rPr>
          <w:rFonts w:ascii="Times New Roman" w:eastAsia="Calibri" w:hAnsi="Times New Roman" w:cs="Times New Roman"/>
          <w:bCs/>
          <w:color w:val="333333"/>
          <w:sz w:val="24"/>
          <w:szCs w:val="24"/>
          <w:shd w:val="clear" w:color="auto" w:fill="FFFFFF"/>
        </w:rPr>
        <w:t xml:space="preserve">  </w:t>
      </w:r>
    </w:p>
    <w:p w14:paraId="66DF1D54" w14:textId="3D142B2A" w:rsidR="007C4885" w:rsidRDefault="007C4885" w:rsidP="007C4885">
      <w:pPr>
        <w:spacing w:after="0" w:line="240" w:lineRule="auto"/>
        <w:ind w:right="1152"/>
        <w:jc w:val="both"/>
        <w:rPr>
          <w:rFonts w:ascii="Times New Roman" w:eastAsia="Calibri" w:hAnsi="Times New Roman" w:cs="Times New Roman"/>
          <w:bCs/>
          <w:color w:val="333333"/>
          <w:sz w:val="24"/>
          <w:szCs w:val="24"/>
          <w:shd w:val="clear" w:color="auto" w:fill="FFFFFF"/>
        </w:rPr>
      </w:pPr>
    </w:p>
    <w:p w14:paraId="7DF19EB8" w14:textId="4A3362F4" w:rsidR="00451158" w:rsidRDefault="007E3706" w:rsidP="003A6E02">
      <w:pPr>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Not referred-to by this paragraph is that the Committee purports to justify its “Recommendation on Outside Income” in a two-paragraph section under the title heading “Statement in Support” </w:t>
      </w:r>
      <w:r w:rsidRPr="00B14649">
        <w:rPr>
          <w:rFonts w:ascii="Times New Roman" w:eastAsia="Calibri" w:hAnsi="Times New Roman" w:cs="Times New Roman"/>
          <w:bCs/>
          <w:color w:val="333333"/>
          <w:sz w:val="24"/>
          <w:szCs w:val="24"/>
          <w:shd w:val="clear" w:color="auto" w:fill="FFFFFF"/>
        </w:rPr>
        <w:t>(at p. 18)</w:t>
      </w:r>
      <w:r w:rsidR="0042137E">
        <w:rPr>
          <w:rFonts w:ascii="Times New Roman" w:eastAsia="Calibri" w:hAnsi="Times New Roman" w:cs="Times New Roman"/>
          <w:bCs/>
          <w:color w:val="333333"/>
          <w:sz w:val="24"/>
          <w:szCs w:val="24"/>
          <w:shd w:val="clear" w:color="auto" w:fill="FFFFFF"/>
        </w:rPr>
        <w:t>.  The deceit of that section is particularized at pages   herein.</w:t>
      </w:r>
    </w:p>
    <w:p w14:paraId="63F856F6" w14:textId="6A6FD78F" w:rsidR="007B268A" w:rsidRPr="00955016" w:rsidRDefault="007B268A" w:rsidP="0007355A">
      <w:pPr>
        <w:spacing w:after="0"/>
        <w:ind w:right="720"/>
        <w:jc w:val="both"/>
        <w:rPr>
          <w:rFonts w:ascii="Times New Roman" w:eastAsia="Calibri" w:hAnsi="Times New Roman" w:cs="Times New Roman"/>
          <w:bCs/>
          <w:color w:val="333333"/>
          <w:sz w:val="24"/>
          <w:szCs w:val="24"/>
          <w:shd w:val="clear" w:color="auto" w:fill="FFFFFF"/>
        </w:rPr>
      </w:pPr>
      <w:r w:rsidRPr="007B268A">
        <w:rPr>
          <w:rFonts w:ascii="Times New Roman" w:eastAsia="Calibri" w:hAnsi="Times New Roman" w:cs="Times New Roman"/>
          <w:b/>
          <w:bCs/>
          <w:color w:val="333333"/>
          <w:sz w:val="24"/>
          <w:szCs w:val="24"/>
          <w:u w:val="single"/>
          <w:shd w:val="clear" w:color="auto" w:fill="FFFFFF"/>
        </w:rPr>
        <w:t xml:space="preserve">Paragraph </w:t>
      </w:r>
      <w:r w:rsidR="002A440C">
        <w:rPr>
          <w:rFonts w:ascii="Times New Roman" w:eastAsia="Calibri" w:hAnsi="Times New Roman" w:cs="Times New Roman"/>
          <w:b/>
          <w:bCs/>
          <w:color w:val="333333"/>
          <w:sz w:val="24"/>
          <w:szCs w:val="24"/>
          <w:u w:val="single"/>
          <w:shd w:val="clear" w:color="auto" w:fill="FFFFFF"/>
        </w:rPr>
        <w:t>#</w:t>
      </w:r>
      <w:r w:rsidRPr="007B268A">
        <w:rPr>
          <w:rFonts w:ascii="Times New Roman" w:eastAsia="Calibri" w:hAnsi="Times New Roman" w:cs="Times New Roman"/>
          <w:b/>
          <w:bCs/>
          <w:color w:val="333333"/>
          <w:sz w:val="24"/>
          <w:szCs w:val="24"/>
          <w:u w:val="single"/>
          <w:shd w:val="clear" w:color="auto" w:fill="FFFFFF"/>
        </w:rPr>
        <w:t>15</w:t>
      </w:r>
      <w:r w:rsidRPr="00955016">
        <w:rPr>
          <w:rFonts w:ascii="Times New Roman" w:eastAsia="Calibri" w:hAnsi="Times New Roman" w:cs="Times New Roman"/>
          <w:bCs/>
          <w:color w:val="333333"/>
          <w:sz w:val="24"/>
          <w:szCs w:val="24"/>
          <w:shd w:val="clear" w:color="auto" w:fill="FFFFFF"/>
        </w:rPr>
        <w:t>:</w:t>
      </w:r>
    </w:p>
    <w:p w14:paraId="5F1B5FC6" w14:textId="77777777" w:rsidR="0007355A" w:rsidRDefault="0007355A" w:rsidP="0007355A">
      <w:pPr>
        <w:spacing w:after="0"/>
        <w:ind w:right="720"/>
        <w:jc w:val="both"/>
        <w:rPr>
          <w:rFonts w:ascii="Times New Roman" w:eastAsia="Calibri" w:hAnsi="Times New Roman" w:cs="Times New Roman"/>
          <w:bCs/>
          <w:color w:val="333333"/>
          <w:sz w:val="24"/>
          <w:szCs w:val="24"/>
          <w:shd w:val="clear" w:color="auto" w:fill="FFFFFF"/>
        </w:rPr>
      </w:pPr>
    </w:p>
    <w:p w14:paraId="0DCFDED2" w14:textId="36F5F7CB" w:rsidR="007B268A" w:rsidRDefault="007B268A" w:rsidP="0007355A">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“There have been additional calls for reforms completely unrelated to the compensation of those within the jurisdiction of this Committee.  These include campaign finance reform, closing the LLP loophole, and many other myriad requests be part of any package to increase salaries.  We </w:t>
      </w:r>
      <w:r>
        <w:rPr>
          <w:rFonts w:ascii="Times New Roman" w:eastAsia="Calibri" w:hAnsi="Times New Roman" w:cs="Times New Roman"/>
          <w:bCs/>
          <w:color w:val="333333"/>
          <w:sz w:val="24"/>
          <w:szCs w:val="24"/>
          <w:shd w:val="clear" w:color="auto" w:fill="FFFFFF"/>
        </w:rPr>
        <w:lastRenderedPageBreak/>
        <w:t xml:space="preserve">believe these demands, wholly unrelated to ‘compensation,’ are inappropriate for this Committee to consider, even while we may individually and collectively support some or all of </w:t>
      </w:r>
      <w:proofErr w:type="gramStart"/>
      <w:r>
        <w:rPr>
          <w:rFonts w:ascii="Times New Roman" w:eastAsia="Calibri" w:hAnsi="Times New Roman" w:cs="Times New Roman"/>
          <w:bCs/>
          <w:color w:val="333333"/>
          <w:sz w:val="24"/>
          <w:szCs w:val="24"/>
          <w:shd w:val="clear" w:color="auto" w:fill="FFFFFF"/>
        </w:rPr>
        <w:t>them, and</w:t>
      </w:r>
      <w:proofErr w:type="gramEnd"/>
      <w:r>
        <w:rPr>
          <w:rFonts w:ascii="Times New Roman" w:eastAsia="Calibri" w:hAnsi="Times New Roman" w:cs="Times New Roman"/>
          <w:bCs/>
          <w:color w:val="333333"/>
          <w:sz w:val="24"/>
          <w:szCs w:val="24"/>
          <w:shd w:val="clear" w:color="auto" w:fill="FFFFFF"/>
        </w:rPr>
        <w:t xml:space="preserve"> encourage the Governor and Legislature to give them appropriate consideration.”</w:t>
      </w:r>
    </w:p>
    <w:p w14:paraId="153002C3" w14:textId="6ABF4899" w:rsidR="00C75904" w:rsidRDefault="00C75904" w:rsidP="0007355A">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ab/>
      </w:r>
    </w:p>
    <w:p w14:paraId="4C86F6E3" w14:textId="1444DC63" w:rsidR="004837E7" w:rsidRDefault="00C75904" w:rsidP="004837E7">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The referred-to calls for reform unrelated to compensation are policy matters within the jurisdiction of the Legislature, whose committees – if they were functioning – would have long ago held hearings with respect thereto, rendered reports with findings based thereon, drafted and debated responsive legislation – which</w:t>
      </w:r>
      <w:r w:rsidR="004837E7">
        <w:rPr>
          <w:rFonts w:ascii="Times New Roman" w:eastAsia="Calibri" w:hAnsi="Times New Roman" w:cs="Times New Roman"/>
          <w:bCs/>
          <w:color w:val="333333"/>
          <w:sz w:val="24"/>
          <w:szCs w:val="24"/>
          <w:shd w:val="clear" w:color="auto" w:fill="FFFFFF"/>
        </w:rPr>
        <w:t xml:space="preserve">, </w:t>
      </w:r>
      <w:r w:rsidR="004837E7" w:rsidRPr="004837E7">
        <w:rPr>
          <w:rFonts w:ascii="Times New Roman" w:eastAsia="Calibri" w:hAnsi="Times New Roman" w:cs="Times New Roman"/>
          <w:bCs/>
          <w:i/>
          <w:color w:val="333333"/>
          <w:sz w:val="24"/>
          <w:szCs w:val="24"/>
          <w:shd w:val="clear" w:color="auto" w:fill="FFFFFF"/>
        </w:rPr>
        <w:t>via</w:t>
      </w:r>
      <w:r w:rsidR="004837E7">
        <w:rPr>
          <w:rFonts w:ascii="Times New Roman" w:eastAsia="Calibri" w:hAnsi="Times New Roman" w:cs="Times New Roman"/>
          <w:bCs/>
          <w:color w:val="333333"/>
          <w:sz w:val="24"/>
          <w:szCs w:val="24"/>
          <w:shd w:val="clear" w:color="auto" w:fill="FFFFFF"/>
        </w:rPr>
        <w:t xml:space="preserve"> appropriate legislative rules would have been voted out of committee and reached the Senate and Assembly floors for debate, amendments, votes – and then the reconciliation of bills for signature by the Governor.   As demonstrated by CJA’s second citizen-taxpayer action , the Legislature is not functioning on any constitutional level and substitutes behind-closed-doors deal-making for open legislative process.</w:t>
      </w:r>
    </w:p>
    <w:p w14:paraId="22A15DBA" w14:textId="23957513" w:rsidR="007B268A" w:rsidRDefault="007B268A" w:rsidP="0007355A">
      <w:pPr>
        <w:spacing w:after="0"/>
        <w:ind w:right="720"/>
        <w:jc w:val="both"/>
        <w:rPr>
          <w:rFonts w:ascii="Times New Roman" w:eastAsia="Calibri" w:hAnsi="Times New Roman" w:cs="Times New Roman"/>
          <w:bCs/>
          <w:color w:val="333333"/>
          <w:sz w:val="24"/>
          <w:szCs w:val="24"/>
          <w:shd w:val="clear" w:color="auto" w:fill="FFFFFF"/>
        </w:rPr>
      </w:pPr>
    </w:p>
    <w:p w14:paraId="37B92D39" w14:textId="7ED3D587" w:rsidR="007B268A" w:rsidRPr="00955016" w:rsidRDefault="007B268A" w:rsidP="0007355A">
      <w:pPr>
        <w:spacing w:after="0"/>
        <w:ind w:right="720"/>
        <w:jc w:val="both"/>
        <w:rPr>
          <w:rFonts w:ascii="Times New Roman" w:eastAsia="Calibri" w:hAnsi="Times New Roman" w:cs="Times New Roman"/>
          <w:bCs/>
          <w:color w:val="333333"/>
          <w:sz w:val="24"/>
          <w:szCs w:val="24"/>
          <w:shd w:val="clear" w:color="auto" w:fill="FFFFFF"/>
        </w:rPr>
      </w:pPr>
      <w:r w:rsidRPr="007B268A">
        <w:rPr>
          <w:rFonts w:ascii="Times New Roman" w:eastAsia="Calibri" w:hAnsi="Times New Roman" w:cs="Times New Roman"/>
          <w:b/>
          <w:bCs/>
          <w:color w:val="333333"/>
          <w:sz w:val="24"/>
          <w:szCs w:val="24"/>
          <w:u w:val="single"/>
          <w:shd w:val="clear" w:color="auto" w:fill="FFFFFF"/>
        </w:rPr>
        <w:t xml:space="preserve">Paragraph </w:t>
      </w:r>
      <w:r w:rsidR="002A440C">
        <w:rPr>
          <w:rFonts w:ascii="Times New Roman" w:eastAsia="Calibri" w:hAnsi="Times New Roman" w:cs="Times New Roman"/>
          <w:b/>
          <w:bCs/>
          <w:color w:val="333333"/>
          <w:sz w:val="24"/>
          <w:szCs w:val="24"/>
          <w:u w:val="single"/>
          <w:shd w:val="clear" w:color="auto" w:fill="FFFFFF"/>
        </w:rPr>
        <w:t>#</w:t>
      </w:r>
      <w:r w:rsidRPr="007B268A">
        <w:rPr>
          <w:rFonts w:ascii="Times New Roman" w:eastAsia="Calibri" w:hAnsi="Times New Roman" w:cs="Times New Roman"/>
          <w:b/>
          <w:bCs/>
          <w:color w:val="333333"/>
          <w:sz w:val="24"/>
          <w:szCs w:val="24"/>
          <w:u w:val="single"/>
          <w:shd w:val="clear" w:color="auto" w:fill="FFFFFF"/>
        </w:rPr>
        <w:t>16</w:t>
      </w:r>
      <w:r w:rsidRPr="00955016">
        <w:rPr>
          <w:rFonts w:ascii="Times New Roman" w:eastAsia="Calibri" w:hAnsi="Times New Roman" w:cs="Times New Roman"/>
          <w:bCs/>
          <w:color w:val="333333"/>
          <w:sz w:val="24"/>
          <w:szCs w:val="24"/>
          <w:shd w:val="clear" w:color="auto" w:fill="FFFFFF"/>
        </w:rPr>
        <w:t>:</w:t>
      </w:r>
    </w:p>
    <w:p w14:paraId="312459E2" w14:textId="77777777" w:rsidR="0007355A" w:rsidRPr="007B268A" w:rsidRDefault="0007355A" w:rsidP="0007355A">
      <w:pPr>
        <w:spacing w:after="0"/>
        <w:ind w:right="720"/>
        <w:jc w:val="both"/>
        <w:rPr>
          <w:rFonts w:ascii="Times New Roman" w:eastAsia="Calibri" w:hAnsi="Times New Roman" w:cs="Times New Roman"/>
          <w:b/>
          <w:bCs/>
          <w:color w:val="333333"/>
          <w:sz w:val="24"/>
          <w:szCs w:val="24"/>
          <w:shd w:val="clear" w:color="auto" w:fill="FFFFFF"/>
        </w:rPr>
      </w:pPr>
    </w:p>
    <w:p w14:paraId="3C139E4F" w14:textId="0A3BD78E" w:rsidR="007B268A" w:rsidRDefault="00A52DF4" w:rsidP="0007355A">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“There have also been calls to enact a permanent cost of living adjustment to the recommendations here.  The statutory mandate of the Committee requires that no increase be effectuated beyond January 1, 2021, which places the imposition of a permanent cost of living adjustment or COLA outside the scope of this Committee’s authority.  Furthermore, the Commission on Judicial, Legislative and Executive Compensation created pursuant to Part E of Chapter 60 of the Laws of 2015 will be re-appointed in June 2019 and will be empowered to make recommendations effective in 2021.”</w:t>
      </w:r>
    </w:p>
    <w:p w14:paraId="54C094C1" w14:textId="0956DEAF" w:rsidR="0032516F" w:rsidRDefault="0032516F" w:rsidP="0007355A">
      <w:pPr>
        <w:spacing w:after="0"/>
        <w:ind w:right="720"/>
        <w:jc w:val="both"/>
        <w:rPr>
          <w:rFonts w:ascii="Times New Roman" w:eastAsia="Calibri" w:hAnsi="Times New Roman" w:cs="Times New Roman"/>
          <w:bCs/>
          <w:color w:val="333333"/>
          <w:sz w:val="24"/>
          <w:szCs w:val="24"/>
          <w:shd w:val="clear" w:color="auto" w:fill="FFFFFF"/>
        </w:rPr>
      </w:pPr>
    </w:p>
    <w:p w14:paraId="7920F870" w14:textId="1D13072C" w:rsidR="00615D45" w:rsidRDefault="00615D45" w:rsidP="0007355A">
      <w:pPr>
        <w:spacing w:after="0"/>
        <w:ind w:right="720"/>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This paragraph – and Paragraph #15 – are the only ones making findings as to the Committee’s jurisdiction consistent with Part HHH.</w:t>
      </w:r>
    </w:p>
    <w:p w14:paraId="1E4698F2" w14:textId="156635D6" w:rsidR="00CD2F15" w:rsidRDefault="00CD2F15" w:rsidP="0007355A">
      <w:pPr>
        <w:spacing w:after="0"/>
        <w:ind w:right="720"/>
        <w:jc w:val="both"/>
        <w:rPr>
          <w:rFonts w:ascii="Times New Roman" w:eastAsia="Calibri" w:hAnsi="Times New Roman" w:cs="Times New Roman"/>
          <w:bCs/>
          <w:color w:val="333333"/>
          <w:sz w:val="24"/>
          <w:szCs w:val="24"/>
          <w:shd w:val="clear" w:color="auto" w:fill="FFFFFF"/>
        </w:rPr>
      </w:pPr>
    </w:p>
    <w:p w14:paraId="12E56D19" w14:textId="59FD8710" w:rsidR="002257E1" w:rsidRPr="009C0615" w:rsidRDefault="002257E1" w:rsidP="00CC33BB">
      <w:pPr>
        <w:ind w:right="720"/>
        <w:jc w:val="center"/>
        <w:rPr>
          <w:rFonts w:ascii="Times New Roman" w:eastAsia="Calibri" w:hAnsi="Times New Roman" w:cs="Times New Roman"/>
          <w:b/>
          <w:bCs/>
          <w:color w:val="333333"/>
          <w:sz w:val="24"/>
          <w:szCs w:val="24"/>
          <w:u w:val="single"/>
          <w:shd w:val="clear" w:color="auto" w:fill="FFFFFF"/>
        </w:rPr>
      </w:pPr>
      <w:r w:rsidRPr="009C0615">
        <w:rPr>
          <w:rFonts w:ascii="Times New Roman" w:eastAsia="Calibri" w:hAnsi="Times New Roman" w:cs="Times New Roman"/>
          <w:b/>
          <w:bCs/>
          <w:color w:val="333333"/>
          <w:sz w:val="24"/>
          <w:szCs w:val="24"/>
          <w:u w:val="single"/>
          <w:shd w:val="clear" w:color="auto" w:fill="FFFFFF"/>
        </w:rPr>
        <w:t>“R</w:t>
      </w:r>
      <w:r w:rsidR="001A2694">
        <w:rPr>
          <w:rFonts w:ascii="Times New Roman" w:eastAsia="Calibri" w:hAnsi="Times New Roman" w:cs="Times New Roman"/>
          <w:b/>
          <w:bCs/>
          <w:color w:val="333333"/>
          <w:sz w:val="24"/>
          <w:szCs w:val="24"/>
          <w:u w:val="single"/>
          <w:shd w:val="clear" w:color="auto" w:fill="FFFFFF"/>
        </w:rPr>
        <w:t>ecommendations</w:t>
      </w:r>
      <w:r w:rsidRPr="009C0615">
        <w:rPr>
          <w:rFonts w:ascii="Times New Roman" w:eastAsia="Calibri" w:hAnsi="Times New Roman" w:cs="Times New Roman"/>
          <w:b/>
          <w:bCs/>
          <w:color w:val="333333"/>
          <w:sz w:val="24"/>
          <w:szCs w:val="24"/>
          <w:u w:val="single"/>
          <w:shd w:val="clear" w:color="auto" w:fill="FFFFFF"/>
        </w:rPr>
        <w:t>”  (at pp. 14-18)</w:t>
      </w:r>
    </w:p>
    <w:p w14:paraId="6B695F34" w14:textId="5D665660" w:rsidR="004D088E" w:rsidRDefault="00D0488D" w:rsidP="004D088E">
      <w:pPr>
        <w:spacing w:after="0" w:line="240" w:lineRule="auto"/>
        <w:jc w:val="both"/>
        <w:rPr>
          <w:rFonts w:ascii="Times New Roman" w:eastAsia="Times New Roman" w:hAnsi="Times New Roman" w:cs="Times New Roman"/>
          <w:snapToGrid w:val="0"/>
          <w:sz w:val="24"/>
          <w:szCs w:val="24"/>
        </w:rPr>
      </w:pPr>
      <w:r>
        <w:rPr>
          <w:rFonts w:ascii="Times New Roman" w:eastAsia="Calibri" w:hAnsi="Times New Roman" w:cs="Times New Roman"/>
          <w:bCs/>
          <w:color w:val="333333"/>
          <w:sz w:val="24"/>
          <w:szCs w:val="24"/>
          <w:shd w:val="clear" w:color="auto" w:fill="FFFFFF"/>
        </w:rPr>
        <w:t xml:space="preserve">This section </w:t>
      </w:r>
      <w:r w:rsidR="004D088E">
        <w:rPr>
          <w:rFonts w:ascii="Times New Roman" w:eastAsia="Times New Roman" w:hAnsi="Times New Roman" w:cs="Times New Roman"/>
          <w:snapToGrid w:val="0"/>
          <w:sz w:val="24"/>
          <w:szCs w:val="24"/>
        </w:rPr>
        <w:t xml:space="preserve">purports that the Committee’s recommendations were “unanimously adopted” at the Committee’s December 6, 2018 meeting – and </w:t>
      </w:r>
      <w:r w:rsidR="00EE2101">
        <w:rPr>
          <w:rFonts w:ascii="Times New Roman" w:eastAsia="Times New Roman" w:hAnsi="Times New Roman" w:cs="Times New Roman"/>
          <w:snapToGrid w:val="0"/>
          <w:sz w:val="24"/>
          <w:szCs w:val="24"/>
        </w:rPr>
        <w:t xml:space="preserve">that they </w:t>
      </w:r>
      <w:r w:rsidR="004D088E">
        <w:rPr>
          <w:rFonts w:ascii="Times New Roman" w:eastAsia="Times New Roman" w:hAnsi="Times New Roman" w:cs="Times New Roman"/>
          <w:snapToGrid w:val="0"/>
          <w:sz w:val="24"/>
          <w:szCs w:val="24"/>
        </w:rPr>
        <w:t>incorporate the “findings and determinations” made by the Report.</w:t>
      </w:r>
      <w:r w:rsidR="004D088E" w:rsidRPr="00C82556">
        <w:rPr>
          <w:rFonts w:ascii="Times New Roman" w:eastAsia="Times New Roman" w:hAnsi="Times New Roman" w:cs="Times New Roman"/>
          <w:snapToGrid w:val="0"/>
          <w:sz w:val="24"/>
          <w:szCs w:val="24"/>
        </w:rPr>
        <w:t xml:space="preserve"> </w:t>
      </w:r>
    </w:p>
    <w:p w14:paraId="4476501E" w14:textId="77777777" w:rsidR="004D088E" w:rsidRDefault="004D088E" w:rsidP="004D088E">
      <w:pPr>
        <w:spacing w:after="0" w:line="240" w:lineRule="auto"/>
        <w:jc w:val="both"/>
        <w:rPr>
          <w:rFonts w:ascii="Times New Roman" w:eastAsia="Times New Roman" w:hAnsi="Times New Roman" w:cs="Times New Roman"/>
          <w:snapToGrid w:val="0"/>
          <w:sz w:val="24"/>
          <w:szCs w:val="24"/>
        </w:rPr>
      </w:pPr>
    </w:p>
    <w:p w14:paraId="5896DA1E" w14:textId="68FF393D" w:rsidR="005C2A6E" w:rsidRDefault="004D088E" w:rsidP="004D088E">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Times New Roman" w:hAnsi="Times New Roman" w:cs="Times New Roman"/>
          <w:snapToGrid w:val="0"/>
          <w:sz w:val="24"/>
          <w:szCs w:val="24"/>
        </w:rPr>
        <w:t xml:space="preserve">Although </w:t>
      </w:r>
      <w:r w:rsidR="002F18ED">
        <w:rPr>
          <w:rFonts w:ascii="Times New Roman" w:eastAsia="Times New Roman" w:hAnsi="Times New Roman" w:cs="Times New Roman"/>
          <w:snapToGrid w:val="0"/>
          <w:sz w:val="24"/>
          <w:szCs w:val="24"/>
        </w:rPr>
        <w:t>the section</w:t>
      </w:r>
      <w:r>
        <w:rPr>
          <w:rFonts w:ascii="Times New Roman" w:eastAsia="Times New Roman" w:hAnsi="Times New Roman" w:cs="Times New Roman"/>
          <w:snapToGrid w:val="0"/>
          <w:sz w:val="24"/>
          <w:szCs w:val="24"/>
        </w:rPr>
        <w:t xml:space="preserve"> essentially repeats the Report’s “Summary of </w:t>
      </w:r>
      <w:r w:rsidR="00EE2101">
        <w:rPr>
          <w:rFonts w:ascii="Times New Roman" w:eastAsia="Times New Roman" w:hAnsi="Times New Roman" w:cs="Times New Roman"/>
          <w:snapToGrid w:val="0"/>
          <w:sz w:val="24"/>
          <w:szCs w:val="24"/>
        </w:rPr>
        <w:t xml:space="preserve">the Committee’s </w:t>
      </w:r>
      <w:r>
        <w:rPr>
          <w:rFonts w:ascii="Times New Roman" w:eastAsia="Times New Roman" w:hAnsi="Times New Roman" w:cs="Times New Roman"/>
          <w:snapToGrid w:val="0"/>
          <w:sz w:val="24"/>
          <w:szCs w:val="24"/>
        </w:rPr>
        <w:t>Recommendations”</w:t>
      </w:r>
      <w:r w:rsidR="00EE2101">
        <w:rPr>
          <w:rFonts w:ascii="Times New Roman" w:eastAsia="Times New Roman" w:hAnsi="Times New Roman" w:cs="Times New Roman"/>
          <w:snapToGrid w:val="0"/>
          <w:sz w:val="24"/>
          <w:szCs w:val="24"/>
        </w:rPr>
        <w:t xml:space="preserve"> (at pp. 5-7)</w:t>
      </w:r>
      <w:r>
        <w:rPr>
          <w:rFonts w:ascii="Times New Roman" w:eastAsia="Times New Roman" w:hAnsi="Times New Roman" w:cs="Times New Roman"/>
          <w:snapToGrid w:val="0"/>
          <w:sz w:val="24"/>
          <w:szCs w:val="24"/>
        </w:rPr>
        <w:t xml:space="preserve">, it differs </w:t>
      </w:r>
      <w:r w:rsidR="005C2A6E">
        <w:rPr>
          <w:rFonts w:ascii="Times New Roman" w:eastAsia="Times New Roman" w:hAnsi="Times New Roman" w:cs="Times New Roman"/>
          <w:snapToGrid w:val="0"/>
          <w:sz w:val="24"/>
          <w:szCs w:val="24"/>
        </w:rPr>
        <w:t xml:space="preserve">by </w:t>
      </w:r>
      <w:r>
        <w:rPr>
          <w:rFonts w:ascii="Times New Roman" w:eastAsia="Times New Roman" w:hAnsi="Times New Roman" w:cs="Times New Roman"/>
          <w:snapToGrid w:val="0"/>
          <w:sz w:val="24"/>
          <w:szCs w:val="24"/>
        </w:rPr>
        <w:t xml:space="preserve">including elaborative </w:t>
      </w:r>
      <w:r>
        <w:rPr>
          <w:rFonts w:ascii="Times New Roman" w:eastAsia="Calibri" w:hAnsi="Times New Roman" w:cs="Times New Roman"/>
          <w:bCs/>
          <w:color w:val="333333"/>
          <w:sz w:val="24"/>
          <w:szCs w:val="24"/>
          <w:shd w:val="clear" w:color="auto" w:fill="FFFFFF"/>
        </w:rPr>
        <w:t xml:space="preserve">comments.   </w:t>
      </w:r>
      <w:r w:rsidR="005C2A6E">
        <w:rPr>
          <w:rFonts w:ascii="Times New Roman" w:eastAsia="Calibri" w:hAnsi="Times New Roman" w:cs="Times New Roman"/>
          <w:bCs/>
          <w:color w:val="333333"/>
          <w:sz w:val="24"/>
          <w:szCs w:val="24"/>
          <w:shd w:val="clear" w:color="auto" w:fill="FFFFFF"/>
        </w:rPr>
        <w:t xml:space="preserve"> None of these comments identify any finding having been made by the Committee that current salary levels are “inadequate” – or that legislative stipends are “inadequate” – which is the only statutory basis for recommendations that increases are warranted.</w:t>
      </w:r>
    </w:p>
    <w:p w14:paraId="424F95E0" w14:textId="023584F3" w:rsidR="005C2A6E" w:rsidRDefault="005C2A6E" w:rsidP="004D088E">
      <w:pPr>
        <w:spacing w:after="0" w:line="240" w:lineRule="auto"/>
        <w:jc w:val="both"/>
        <w:rPr>
          <w:rFonts w:ascii="Times New Roman" w:eastAsia="Calibri" w:hAnsi="Times New Roman" w:cs="Times New Roman"/>
          <w:bCs/>
          <w:color w:val="333333"/>
          <w:sz w:val="24"/>
          <w:szCs w:val="24"/>
          <w:shd w:val="clear" w:color="auto" w:fill="FFFFFF"/>
        </w:rPr>
      </w:pPr>
    </w:p>
    <w:p w14:paraId="3696C956" w14:textId="60552949" w:rsidR="005C2A6E" w:rsidRDefault="00CC33BB" w:rsidP="00D0166F">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w:t>
      </w:r>
      <w:r w:rsidR="005C2A6E">
        <w:rPr>
          <w:rFonts w:ascii="Times New Roman" w:eastAsia="Calibri" w:hAnsi="Times New Roman" w:cs="Times New Roman"/>
          <w:bCs/>
          <w:color w:val="333333"/>
          <w:sz w:val="24"/>
          <w:szCs w:val="24"/>
          <w:shd w:val="clear" w:color="auto" w:fill="FFFFFF"/>
        </w:rPr>
        <w:t xml:space="preserve">o the contrary, and </w:t>
      </w:r>
      <w:r w:rsidRPr="00EE2101">
        <w:rPr>
          <w:rFonts w:ascii="Times New Roman" w:eastAsia="Calibri" w:hAnsi="Times New Roman" w:cs="Times New Roman"/>
          <w:bCs/>
          <w:color w:val="333333"/>
          <w:sz w:val="24"/>
          <w:szCs w:val="24"/>
          <w:u w:val="single"/>
          <w:shd w:val="clear" w:color="auto" w:fill="FFFFFF"/>
        </w:rPr>
        <w:t>relating to the Legislature</w:t>
      </w:r>
      <w:r w:rsidR="005C2A6E">
        <w:rPr>
          <w:rFonts w:ascii="Times New Roman" w:eastAsia="Calibri" w:hAnsi="Times New Roman" w:cs="Times New Roman"/>
          <w:bCs/>
          <w:color w:val="333333"/>
          <w:sz w:val="24"/>
          <w:szCs w:val="24"/>
          <w:shd w:val="clear" w:color="auto" w:fill="FFFFFF"/>
        </w:rPr>
        <w:t xml:space="preserve">, this section </w:t>
      </w:r>
      <w:r w:rsidR="00D0166F">
        <w:rPr>
          <w:rFonts w:ascii="Times New Roman" w:eastAsia="Calibri" w:hAnsi="Times New Roman" w:cs="Times New Roman"/>
          <w:bCs/>
          <w:color w:val="333333"/>
          <w:sz w:val="24"/>
          <w:szCs w:val="24"/>
          <w:shd w:val="clear" w:color="auto" w:fill="FFFFFF"/>
        </w:rPr>
        <w:t>identifies that the Committee’s recommended increases are based on what it deems “</w:t>
      </w:r>
      <w:r>
        <w:rPr>
          <w:rFonts w:ascii="Times New Roman" w:eastAsia="Calibri" w:hAnsi="Times New Roman" w:cs="Times New Roman"/>
          <w:bCs/>
          <w:color w:val="333333"/>
          <w:sz w:val="24"/>
          <w:szCs w:val="24"/>
          <w:shd w:val="clear" w:color="auto" w:fill="FFFFFF"/>
        </w:rPr>
        <w:t>appropriate compensation for a member of the Legislature</w:t>
      </w:r>
      <w:r w:rsidR="00D0166F">
        <w:rPr>
          <w:rFonts w:ascii="Times New Roman" w:eastAsia="Calibri" w:hAnsi="Times New Roman" w:cs="Times New Roman"/>
          <w:bCs/>
          <w:color w:val="333333"/>
          <w:sz w:val="24"/>
          <w:szCs w:val="24"/>
          <w:shd w:val="clear" w:color="auto" w:fill="FFFFFF"/>
        </w:rPr>
        <w:t>”</w:t>
      </w:r>
      <w:r w:rsidR="005C2A6E">
        <w:rPr>
          <w:rFonts w:ascii="Times New Roman" w:eastAsia="Calibri" w:hAnsi="Times New Roman" w:cs="Times New Roman"/>
          <w:bCs/>
          <w:color w:val="333333"/>
          <w:sz w:val="24"/>
          <w:szCs w:val="24"/>
          <w:shd w:val="clear" w:color="auto" w:fill="FFFFFF"/>
        </w:rPr>
        <w:t xml:space="preserve">  </w:t>
      </w:r>
      <w:r w:rsidR="002F18ED">
        <w:rPr>
          <w:rFonts w:ascii="Times New Roman" w:eastAsia="Calibri" w:hAnsi="Times New Roman" w:cs="Times New Roman"/>
          <w:bCs/>
          <w:color w:val="333333"/>
          <w:sz w:val="24"/>
          <w:szCs w:val="24"/>
          <w:shd w:val="clear" w:color="auto" w:fill="FFFFFF"/>
        </w:rPr>
        <w:t>(at p. 14).</w:t>
      </w:r>
    </w:p>
    <w:p w14:paraId="69970470" w14:textId="77777777" w:rsidR="005C2A6E" w:rsidRDefault="005C2A6E" w:rsidP="00CC33BB">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71DA1FD3" w14:textId="6DB7E37F" w:rsidR="00EE2101" w:rsidRDefault="002F18ED" w:rsidP="00EE2101">
      <w:pPr>
        <w:spacing w:after="0" w:line="240" w:lineRule="auto"/>
        <w:jc w:val="both"/>
        <w:rPr>
          <w:rFonts w:ascii="Times New Roman" w:eastAsia="Calibri" w:hAnsi="Times New Roman" w:cs="Times New Roman"/>
          <w:bCs/>
          <w:color w:val="333333"/>
          <w:sz w:val="24"/>
          <w:szCs w:val="24"/>
          <w:shd w:val="clear" w:color="auto" w:fill="FFFFFF"/>
        </w:rPr>
      </w:pPr>
      <w:r w:rsidRPr="00EE2101">
        <w:rPr>
          <w:rFonts w:ascii="Times New Roman" w:eastAsia="Calibri" w:hAnsi="Times New Roman" w:cs="Times New Roman"/>
          <w:bCs/>
          <w:color w:val="333333"/>
          <w:sz w:val="24"/>
          <w:szCs w:val="24"/>
          <w:u w:val="single"/>
          <w:shd w:val="clear" w:color="auto" w:fill="FFFFFF"/>
        </w:rPr>
        <w:lastRenderedPageBreak/>
        <w:t>Relating to the Governor and Lieutenant Governor</w:t>
      </w:r>
      <w:r>
        <w:rPr>
          <w:rFonts w:ascii="Times New Roman" w:eastAsia="Calibri" w:hAnsi="Times New Roman" w:cs="Times New Roman"/>
          <w:bCs/>
          <w:color w:val="333333"/>
          <w:sz w:val="24"/>
          <w:szCs w:val="24"/>
          <w:shd w:val="clear" w:color="auto" w:fill="FFFFFF"/>
        </w:rPr>
        <w:t xml:space="preserve">, whose current salary are nowhere identified by the Report, this section advises (at p. 16) that </w:t>
      </w:r>
      <w:r w:rsidR="00D0166F">
        <w:rPr>
          <w:rFonts w:ascii="Times New Roman" w:eastAsia="Calibri" w:hAnsi="Times New Roman" w:cs="Times New Roman"/>
          <w:bCs/>
          <w:color w:val="333333"/>
          <w:sz w:val="24"/>
          <w:szCs w:val="24"/>
          <w:shd w:val="clear" w:color="auto" w:fill="FFFFFF"/>
        </w:rPr>
        <w:t xml:space="preserve">its recommended salary increase for the Governor is: </w:t>
      </w:r>
    </w:p>
    <w:p w14:paraId="63C18657" w14:textId="74D1303B" w:rsidR="002F18ED" w:rsidRDefault="002F18ED" w:rsidP="00EE2101">
      <w:pPr>
        <w:spacing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“a number that while short of the inflation-adjusted amount, reflects the complexity of the office and the fairness in supporting a substantial increase.”</w:t>
      </w:r>
    </w:p>
    <w:p w14:paraId="79C9A08E" w14:textId="015F23B1" w:rsidR="002F18ED" w:rsidRDefault="002F18ED" w:rsidP="004B3243">
      <w:pPr>
        <w:ind w:right="720"/>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No basis </w:t>
      </w:r>
      <w:r w:rsidR="00EE2101">
        <w:rPr>
          <w:rFonts w:ascii="Times New Roman" w:eastAsia="Calibri" w:hAnsi="Times New Roman" w:cs="Times New Roman"/>
          <w:bCs/>
          <w:color w:val="333333"/>
          <w:sz w:val="24"/>
          <w:szCs w:val="24"/>
          <w:shd w:val="clear" w:color="auto" w:fill="FFFFFF"/>
        </w:rPr>
        <w:t xml:space="preserve">for the salary </w:t>
      </w:r>
      <w:proofErr w:type="gramStart"/>
      <w:r w:rsidR="00EE2101">
        <w:rPr>
          <w:rFonts w:ascii="Times New Roman" w:eastAsia="Calibri" w:hAnsi="Times New Roman" w:cs="Times New Roman"/>
          <w:bCs/>
          <w:color w:val="333333"/>
          <w:sz w:val="24"/>
          <w:szCs w:val="24"/>
          <w:shd w:val="clear" w:color="auto" w:fill="FFFFFF"/>
        </w:rPr>
        <w:t>increase</w:t>
      </w:r>
      <w:proofErr w:type="gramEnd"/>
      <w:r w:rsidR="00EE2101">
        <w:rPr>
          <w:rFonts w:ascii="Times New Roman" w:eastAsia="Calibri" w:hAnsi="Times New Roman" w:cs="Times New Roman"/>
          <w:bCs/>
          <w:color w:val="333333"/>
          <w:sz w:val="24"/>
          <w:szCs w:val="24"/>
          <w:shd w:val="clear" w:color="auto" w:fill="FFFFFF"/>
        </w:rPr>
        <w:t xml:space="preserve"> recommendation for the Lieutenant Governor is provided.</w:t>
      </w:r>
    </w:p>
    <w:p w14:paraId="7BDF3C3D" w14:textId="77777777" w:rsidR="00D0166F" w:rsidRDefault="00EE2101" w:rsidP="00D0166F">
      <w:pPr>
        <w:spacing w:after="0" w:line="240" w:lineRule="auto"/>
        <w:jc w:val="both"/>
        <w:rPr>
          <w:rFonts w:ascii="Times New Roman" w:eastAsia="Calibri" w:hAnsi="Times New Roman" w:cs="Times New Roman"/>
          <w:bCs/>
          <w:color w:val="333333"/>
          <w:sz w:val="24"/>
          <w:szCs w:val="24"/>
          <w:shd w:val="clear" w:color="auto" w:fill="FFFFFF"/>
        </w:rPr>
      </w:pPr>
      <w:r w:rsidRPr="00B97D2D">
        <w:rPr>
          <w:rFonts w:ascii="Times New Roman" w:eastAsia="Calibri" w:hAnsi="Times New Roman" w:cs="Times New Roman"/>
          <w:bCs/>
          <w:color w:val="333333"/>
          <w:sz w:val="24"/>
          <w:szCs w:val="24"/>
          <w:u w:val="single"/>
          <w:shd w:val="clear" w:color="auto" w:fill="FFFFFF"/>
        </w:rPr>
        <w:t>Relating to the A</w:t>
      </w:r>
      <w:r w:rsidR="004B3243" w:rsidRPr="00B97D2D">
        <w:rPr>
          <w:rFonts w:ascii="Times New Roman" w:eastAsia="Calibri" w:hAnsi="Times New Roman" w:cs="Times New Roman"/>
          <w:bCs/>
          <w:color w:val="333333"/>
          <w:sz w:val="24"/>
          <w:szCs w:val="24"/>
          <w:u w:val="single"/>
          <w:shd w:val="clear" w:color="auto" w:fill="FFFFFF"/>
        </w:rPr>
        <w:t>ttorney General and Comptroller</w:t>
      </w:r>
      <w:r>
        <w:rPr>
          <w:rFonts w:ascii="Times New Roman" w:eastAsia="Calibri" w:hAnsi="Times New Roman" w:cs="Times New Roman"/>
          <w:bCs/>
          <w:color w:val="333333"/>
          <w:sz w:val="24"/>
          <w:szCs w:val="24"/>
          <w:shd w:val="clear" w:color="auto" w:fill="FFFFFF"/>
        </w:rPr>
        <w:t xml:space="preserve">, whose current salary is also nowhere identified by the Report, this section </w:t>
      </w:r>
      <w:r w:rsidR="00D0166F">
        <w:rPr>
          <w:rFonts w:ascii="Times New Roman" w:eastAsia="Calibri" w:hAnsi="Times New Roman" w:cs="Times New Roman"/>
          <w:bCs/>
          <w:color w:val="333333"/>
          <w:sz w:val="24"/>
          <w:szCs w:val="24"/>
          <w:shd w:val="clear" w:color="auto" w:fill="FFFFFF"/>
        </w:rPr>
        <w:t>states</w:t>
      </w:r>
      <w:r>
        <w:rPr>
          <w:rFonts w:ascii="Times New Roman" w:eastAsia="Calibri" w:hAnsi="Times New Roman" w:cs="Times New Roman"/>
          <w:bCs/>
          <w:color w:val="333333"/>
          <w:sz w:val="24"/>
          <w:szCs w:val="24"/>
          <w:shd w:val="clear" w:color="auto" w:fill="FFFFFF"/>
        </w:rPr>
        <w:t xml:space="preserve"> (at p. 17) that the Committee is recommending a salary that “</w:t>
      </w:r>
      <w:r w:rsidR="004B3243">
        <w:rPr>
          <w:rFonts w:ascii="Times New Roman" w:eastAsia="Calibri" w:hAnsi="Times New Roman" w:cs="Times New Roman"/>
          <w:bCs/>
          <w:color w:val="333333"/>
          <w:sz w:val="24"/>
          <w:szCs w:val="24"/>
          <w:shd w:val="clear" w:color="auto" w:fill="FFFFFF"/>
        </w:rPr>
        <w:t>while less than the inflation-adjusted amount for each reflects the complexity of the office and the fairness in supporting a substantial increase.”</w:t>
      </w:r>
      <w:r w:rsidR="00D0166F">
        <w:rPr>
          <w:rFonts w:ascii="Times New Roman" w:eastAsia="Calibri" w:hAnsi="Times New Roman" w:cs="Times New Roman"/>
          <w:bCs/>
          <w:color w:val="333333"/>
          <w:sz w:val="24"/>
          <w:szCs w:val="24"/>
          <w:shd w:val="clear" w:color="auto" w:fill="FFFFFF"/>
        </w:rPr>
        <w:t xml:space="preserve"> </w:t>
      </w:r>
    </w:p>
    <w:p w14:paraId="10523A12" w14:textId="77777777" w:rsidR="00D0166F" w:rsidRDefault="00D0166F" w:rsidP="00D0166F">
      <w:pPr>
        <w:spacing w:after="0" w:line="240" w:lineRule="auto"/>
        <w:jc w:val="both"/>
        <w:rPr>
          <w:rFonts w:ascii="Times New Roman" w:eastAsia="Calibri" w:hAnsi="Times New Roman" w:cs="Times New Roman"/>
          <w:bCs/>
          <w:color w:val="333333"/>
          <w:sz w:val="24"/>
          <w:szCs w:val="24"/>
          <w:shd w:val="clear" w:color="auto" w:fill="FFFFFF"/>
        </w:rPr>
      </w:pPr>
    </w:p>
    <w:p w14:paraId="60359D51" w14:textId="3A22C820" w:rsidR="004B3243" w:rsidRDefault="00EE2101" w:rsidP="00D0166F">
      <w:pPr>
        <w:spacing w:after="0" w:line="240" w:lineRule="auto"/>
        <w:jc w:val="both"/>
        <w:rPr>
          <w:rFonts w:ascii="Times New Roman" w:eastAsia="Calibri" w:hAnsi="Times New Roman" w:cs="Times New Roman"/>
          <w:bCs/>
          <w:color w:val="333333"/>
          <w:sz w:val="24"/>
          <w:szCs w:val="24"/>
          <w:shd w:val="clear" w:color="auto" w:fill="FFFFFF"/>
        </w:rPr>
      </w:pPr>
      <w:r w:rsidRPr="00B97D2D">
        <w:rPr>
          <w:rFonts w:ascii="Times New Roman" w:eastAsia="Calibri" w:hAnsi="Times New Roman" w:cs="Times New Roman"/>
          <w:bCs/>
          <w:color w:val="333333"/>
          <w:sz w:val="24"/>
          <w:szCs w:val="24"/>
          <w:u w:val="single"/>
          <w:shd w:val="clear" w:color="auto" w:fill="FFFFFF"/>
        </w:rPr>
        <w:t xml:space="preserve">Relating to Executive Law 169 </w:t>
      </w:r>
      <w:r w:rsidR="004B3243" w:rsidRPr="00B97D2D">
        <w:rPr>
          <w:rFonts w:ascii="Times New Roman" w:eastAsia="Calibri" w:hAnsi="Times New Roman" w:cs="Times New Roman"/>
          <w:bCs/>
          <w:color w:val="333333"/>
          <w:sz w:val="24"/>
          <w:szCs w:val="24"/>
          <w:u w:val="single"/>
          <w:shd w:val="clear" w:color="auto" w:fill="FFFFFF"/>
        </w:rPr>
        <w:t>Commissioners</w:t>
      </w:r>
      <w:r w:rsidR="00D0166F">
        <w:rPr>
          <w:rFonts w:ascii="Times New Roman" w:eastAsia="Calibri" w:hAnsi="Times New Roman" w:cs="Times New Roman"/>
          <w:bCs/>
          <w:color w:val="333333"/>
          <w:sz w:val="24"/>
          <w:szCs w:val="24"/>
          <w:shd w:val="clear" w:color="auto" w:fill="FFFFFF"/>
        </w:rPr>
        <w:t xml:space="preserve">, this section states (at p. 17), without elaboration, that it is recommending “an increase for all levels of commissioners” and “simplifying the categories of Commissioners to better reflect </w:t>
      </w:r>
      <w:r w:rsidR="00DE386A">
        <w:rPr>
          <w:rFonts w:ascii="Times New Roman" w:eastAsia="Calibri" w:hAnsi="Times New Roman" w:cs="Times New Roman"/>
          <w:bCs/>
          <w:color w:val="333333"/>
          <w:sz w:val="24"/>
          <w:szCs w:val="24"/>
          <w:shd w:val="clear" w:color="auto" w:fill="FFFFFF"/>
        </w:rPr>
        <w:t>scope of responsibilities, complexity, budget and workforce based on current data and account for ranges of income.”</w:t>
      </w:r>
    </w:p>
    <w:p w14:paraId="636457A7" w14:textId="1B838E51" w:rsidR="00426EFD" w:rsidRDefault="00426EFD" w:rsidP="00D0166F">
      <w:pPr>
        <w:spacing w:after="0" w:line="240" w:lineRule="auto"/>
        <w:jc w:val="both"/>
        <w:rPr>
          <w:rFonts w:ascii="Times New Roman" w:eastAsia="Calibri" w:hAnsi="Times New Roman" w:cs="Times New Roman"/>
          <w:bCs/>
          <w:color w:val="333333"/>
          <w:sz w:val="24"/>
          <w:szCs w:val="24"/>
          <w:shd w:val="clear" w:color="auto" w:fill="FFFFFF"/>
        </w:rPr>
      </w:pPr>
    </w:p>
    <w:p w14:paraId="390C5109" w14:textId="77777777" w:rsidR="00CF62F9" w:rsidRDefault="00CF62F9" w:rsidP="00426EFD">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1FE61EB6" w14:textId="06FE5FBB" w:rsidR="00426EFD" w:rsidRDefault="00CF62F9" w:rsidP="00426EFD">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To be integrated -- </w:t>
      </w:r>
      <w:r w:rsidR="00426EFD" w:rsidRPr="005F5F00">
        <w:rPr>
          <w:rFonts w:ascii="Times New Roman" w:eastAsia="Calibri" w:hAnsi="Times New Roman" w:cs="Times New Roman"/>
          <w:bCs/>
          <w:color w:val="333333"/>
          <w:sz w:val="24"/>
          <w:szCs w:val="24"/>
          <w:shd w:val="clear" w:color="auto" w:fill="FFFFFF"/>
        </w:rPr>
        <w:t xml:space="preserve">The Committee further finds that the continuation of unrestricted receipt of outside income runs counter to, as Speaker Heastie testified, the fulltime nature of legislative responsibilities, risks actual and perceived conflicts of interest, and thus creates difficulty in setting levels of compensation. The Committee was charged with reviewing other mechanisms of compensation nationally and in other states. This Committee finds that the Congressional model employed to limit outside earned income and potential conflicts of interest is best. New York shall limit receipt of outside earned income to eliminate both the perception of and any actual conflicts of interest amongst the membership of the two houses and shall completely eliminate outside earned income where there is a fiduciary relationship including service on a board of a company whether for-profit or not-for-profit, to serve as an attorney, financial advisor, consultant or in any other capacity where the public could question whether the employer or the citizens of this state are being properly served. In all cases, where employment is not prohibited, a hard cap of 15% of legislative base salary shall be imposed on outside earned income to ensure that the primary source of earned income is from the state.  </w:t>
      </w:r>
    </w:p>
    <w:p w14:paraId="5A34F8C4" w14:textId="77777777" w:rsidR="00426EFD" w:rsidRDefault="00426EFD" w:rsidP="00426EFD">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5F5F00">
        <w:rPr>
          <w:rFonts w:ascii="Times New Roman" w:eastAsia="Calibri" w:hAnsi="Times New Roman" w:cs="Times New Roman"/>
          <w:bCs/>
          <w:color w:val="333333"/>
          <w:sz w:val="24"/>
          <w:szCs w:val="24"/>
          <w:shd w:val="clear" w:color="auto" w:fill="FFFFFF"/>
        </w:rPr>
        <w:t>Specifically, the prohibited activities are:</w:t>
      </w:r>
      <w:r>
        <w:rPr>
          <w:rFonts w:ascii="Times New Roman" w:eastAsia="Calibri" w:hAnsi="Times New Roman" w:cs="Times New Roman"/>
          <w:bCs/>
          <w:color w:val="333333"/>
          <w:sz w:val="24"/>
          <w:szCs w:val="24"/>
          <w:shd w:val="clear" w:color="auto" w:fill="FFFFFF"/>
        </w:rPr>
        <w:t>…</w:t>
      </w:r>
    </w:p>
    <w:p w14:paraId="3D387070" w14:textId="77777777" w:rsidR="00426EFD" w:rsidRDefault="00426EFD" w:rsidP="00426EFD">
      <w:pPr>
        <w:ind w:left="1152" w:right="1152"/>
        <w:jc w:val="both"/>
        <w:rPr>
          <w:rFonts w:ascii="Times New Roman" w:eastAsia="Calibri" w:hAnsi="Times New Roman" w:cs="Times New Roman"/>
          <w:bCs/>
          <w:color w:val="333333"/>
          <w:sz w:val="24"/>
          <w:szCs w:val="24"/>
          <w:shd w:val="clear" w:color="auto" w:fill="FFFFFF"/>
        </w:rPr>
      </w:pPr>
    </w:p>
    <w:p w14:paraId="20F77B71" w14:textId="357752BB" w:rsidR="00426EFD" w:rsidRDefault="00426EFD" w:rsidP="00D0166F">
      <w:pPr>
        <w:spacing w:after="0" w:line="240" w:lineRule="auto"/>
        <w:jc w:val="both"/>
        <w:rPr>
          <w:rFonts w:ascii="Times New Roman" w:eastAsia="Calibri" w:hAnsi="Times New Roman" w:cs="Times New Roman"/>
          <w:bCs/>
          <w:color w:val="333333"/>
          <w:sz w:val="24"/>
          <w:szCs w:val="24"/>
          <w:shd w:val="clear" w:color="auto" w:fill="FFFFFF"/>
        </w:rPr>
      </w:pPr>
    </w:p>
    <w:p w14:paraId="3DAD8EB9" w14:textId="4649314A" w:rsidR="00CF62F9" w:rsidRDefault="00CF62F9" w:rsidP="00D0166F">
      <w:pPr>
        <w:spacing w:after="0" w:line="240" w:lineRule="auto"/>
        <w:jc w:val="both"/>
        <w:rPr>
          <w:rFonts w:ascii="Times New Roman" w:eastAsia="Calibri" w:hAnsi="Times New Roman" w:cs="Times New Roman"/>
          <w:bCs/>
          <w:color w:val="333333"/>
          <w:sz w:val="24"/>
          <w:szCs w:val="24"/>
          <w:shd w:val="clear" w:color="auto" w:fill="FFFFFF"/>
        </w:rPr>
      </w:pPr>
    </w:p>
    <w:p w14:paraId="00F4B4CF" w14:textId="46C92345" w:rsidR="00CF62F9" w:rsidRDefault="00CF62F9" w:rsidP="00D0166F">
      <w:pPr>
        <w:spacing w:after="0" w:line="240" w:lineRule="auto"/>
        <w:jc w:val="both"/>
        <w:rPr>
          <w:rFonts w:ascii="Times New Roman" w:eastAsia="Calibri" w:hAnsi="Times New Roman" w:cs="Times New Roman"/>
          <w:bCs/>
          <w:color w:val="333333"/>
          <w:sz w:val="24"/>
          <w:szCs w:val="24"/>
          <w:shd w:val="clear" w:color="auto" w:fill="FFFFFF"/>
        </w:rPr>
      </w:pPr>
    </w:p>
    <w:p w14:paraId="2D5ADF24" w14:textId="77777777" w:rsidR="00CF62F9" w:rsidRDefault="00CF62F9" w:rsidP="00D0166F">
      <w:pPr>
        <w:spacing w:after="0" w:line="240" w:lineRule="auto"/>
        <w:jc w:val="both"/>
        <w:rPr>
          <w:rFonts w:ascii="Times New Roman" w:eastAsia="Calibri" w:hAnsi="Times New Roman" w:cs="Times New Roman"/>
          <w:bCs/>
          <w:color w:val="333333"/>
          <w:sz w:val="24"/>
          <w:szCs w:val="24"/>
          <w:shd w:val="clear" w:color="auto" w:fill="FFFFFF"/>
        </w:rPr>
      </w:pPr>
    </w:p>
    <w:p w14:paraId="3834D809" w14:textId="5E509B72" w:rsidR="00426EFD" w:rsidRDefault="00426EFD" w:rsidP="00D0166F">
      <w:pPr>
        <w:spacing w:after="0" w:line="240" w:lineRule="auto"/>
        <w:jc w:val="both"/>
        <w:rPr>
          <w:rFonts w:ascii="Times New Roman" w:eastAsia="Calibri" w:hAnsi="Times New Roman" w:cs="Times New Roman"/>
          <w:bCs/>
          <w:color w:val="333333"/>
          <w:sz w:val="24"/>
          <w:szCs w:val="24"/>
          <w:shd w:val="clear" w:color="auto" w:fill="FFFFFF"/>
        </w:rPr>
      </w:pPr>
    </w:p>
    <w:p w14:paraId="55685DDF" w14:textId="77777777" w:rsidR="00426EFD" w:rsidRDefault="00426EFD" w:rsidP="00D0166F">
      <w:pPr>
        <w:spacing w:after="0" w:line="240" w:lineRule="auto"/>
        <w:jc w:val="both"/>
        <w:rPr>
          <w:rFonts w:ascii="Times New Roman" w:eastAsia="Calibri" w:hAnsi="Times New Roman" w:cs="Times New Roman"/>
          <w:bCs/>
          <w:color w:val="333333"/>
          <w:sz w:val="24"/>
          <w:szCs w:val="24"/>
          <w:shd w:val="clear" w:color="auto" w:fill="FFFFFF"/>
        </w:rPr>
      </w:pPr>
    </w:p>
    <w:p w14:paraId="5FBCC4B6" w14:textId="12F16132" w:rsidR="002A7E3C" w:rsidRDefault="002A7E3C" w:rsidP="007E3706">
      <w:pPr>
        <w:ind w:right="720"/>
        <w:jc w:val="center"/>
        <w:rPr>
          <w:rFonts w:ascii="Times New Roman" w:eastAsia="Calibri" w:hAnsi="Times New Roman" w:cs="Times New Roman"/>
          <w:b/>
          <w:bCs/>
          <w:color w:val="333333"/>
          <w:sz w:val="24"/>
          <w:szCs w:val="24"/>
          <w:u w:val="single"/>
          <w:shd w:val="clear" w:color="auto" w:fill="FFFFFF"/>
        </w:rPr>
      </w:pPr>
      <w:r w:rsidRPr="00285E2B">
        <w:rPr>
          <w:rFonts w:ascii="Times New Roman" w:eastAsia="Calibri" w:hAnsi="Times New Roman" w:cs="Times New Roman"/>
          <w:b/>
          <w:bCs/>
          <w:color w:val="333333"/>
          <w:sz w:val="24"/>
          <w:szCs w:val="24"/>
          <w:u w:val="single"/>
          <w:shd w:val="clear" w:color="auto" w:fill="FFFFFF"/>
        </w:rPr>
        <w:lastRenderedPageBreak/>
        <w:t>“</w:t>
      </w:r>
      <w:r w:rsidR="006F3818">
        <w:rPr>
          <w:rFonts w:ascii="Times New Roman" w:eastAsia="Calibri" w:hAnsi="Times New Roman" w:cs="Times New Roman"/>
          <w:b/>
          <w:bCs/>
          <w:color w:val="333333"/>
          <w:sz w:val="24"/>
          <w:szCs w:val="24"/>
          <w:u w:val="single"/>
          <w:shd w:val="clear" w:color="auto" w:fill="FFFFFF"/>
        </w:rPr>
        <w:t>S</w:t>
      </w:r>
      <w:r w:rsidR="0087009A">
        <w:rPr>
          <w:rFonts w:ascii="Times New Roman" w:eastAsia="Calibri" w:hAnsi="Times New Roman" w:cs="Times New Roman"/>
          <w:b/>
          <w:bCs/>
          <w:color w:val="333333"/>
          <w:sz w:val="24"/>
          <w:szCs w:val="24"/>
          <w:u w:val="single"/>
          <w:shd w:val="clear" w:color="auto" w:fill="FFFFFF"/>
        </w:rPr>
        <w:t>TA</w:t>
      </w:r>
      <w:r w:rsidR="006F3818">
        <w:rPr>
          <w:rFonts w:ascii="Times New Roman" w:eastAsia="Calibri" w:hAnsi="Times New Roman" w:cs="Times New Roman"/>
          <w:b/>
          <w:bCs/>
          <w:color w:val="333333"/>
          <w:sz w:val="24"/>
          <w:szCs w:val="24"/>
          <w:u w:val="single"/>
          <w:shd w:val="clear" w:color="auto" w:fill="FFFFFF"/>
        </w:rPr>
        <w:t>T</w:t>
      </w:r>
      <w:r w:rsidR="0087009A">
        <w:rPr>
          <w:rFonts w:ascii="Times New Roman" w:eastAsia="Calibri" w:hAnsi="Times New Roman" w:cs="Times New Roman"/>
          <w:b/>
          <w:bCs/>
          <w:color w:val="333333"/>
          <w:sz w:val="24"/>
          <w:szCs w:val="24"/>
          <w:u w:val="single"/>
          <w:shd w:val="clear" w:color="auto" w:fill="FFFFFF"/>
        </w:rPr>
        <w:t>EMENT IN SUPPORT</w:t>
      </w:r>
      <w:r w:rsidRPr="00285E2B">
        <w:rPr>
          <w:rFonts w:ascii="Times New Roman" w:eastAsia="Calibri" w:hAnsi="Times New Roman" w:cs="Times New Roman"/>
          <w:b/>
          <w:bCs/>
          <w:color w:val="333333"/>
          <w:sz w:val="24"/>
          <w:szCs w:val="24"/>
          <w:u w:val="single"/>
          <w:shd w:val="clear" w:color="auto" w:fill="FFFFFF"/>
        </w:rPr>
        <w:t>” (at pp. 18</w:t>
      </w:r>
      <w:r w:rsidR="006F3818">
        <w:rPr>
          <w:rFonts w:ascii="Times New Roman" w:eastAsia="Calibri" w:hAnsi="Times New Roman" w:cs="Times New Roman"/>
          <w:b/>
          <w:bCs/>
          <w:color w:val="333333"/>
          <w:sz w:val="24"/>
          <w:szCs w:val="24"/>
          <w:u w:val="single"/>
          <w:shd w:val="clear" w:color="auto" w:fill="FFFFFF"/>
        </w:rPr>
        <w:t>-21</w:t>
      </w:r>
      <w:r w:rsidRPr="00285E2B">
        <w:rPr>
          <w:rFonts w:ascii="Times New Roman" w:eastAsia="Calibri" w:hAnsi="Times New Roman" w:cs="Times New Roman"/>
          <w:b/>
          <w:bCs/>
          <w:color w:val="333333"/>
          <w:sz w:val="24"/>
          <w:szCs w:val="24"/>
          <w:u w:val="single"/>
          <w:shd w:val="clear" w:color="auto" w:fill="FFFFFF"/>
        </w:rPr>
        <w:t>)</w:t>
      </w:r>
    </w:p>
    <w:p w14:paraId="294D1624" w14:textId="1C953BD6" w:rsidR="0087009A" w:rsidRPr="00285E2B" w:rsidRDefault="0087009A" w:rsidP="004D2C6D">
      <w:pPr>
        <w:ind w:right="720"/>
        <w:jc w:val="center"/>
        <w:rPr>
          <w:rFonts w:ascii="Times New Roman" w:eastAsia="Calibri" w:hAnsi="Times New Roman" w:cs="Times New Roman"/>
          <w:b/>
          <w:bCs/>
          <w:color w:val="333333"/>
          <w:sz w:val="24"/>
          <w:szCs w:val="24"/>
          <w:u w:val="single"/>
          <w:shd w:val="clear" w:color="auto" w:fill="FFFFFF"/>
        </w:rPr>
      </w:pPr>
      <w:r>
        <w:rPr>
          <w:rFonts w:ascii="Times New Roman" w:eastAsia="Calibri" w:hAnsi="Times New Roman" w:cs="Times New Roman"/>
          <w:b/>
          <w:bCs/>
          <w:color w:val="333333"/>
          <w:sz w:val="24"/>
          <w:szCs w:val="24"/>
          <w:u w:val="single"/>
          <w:shd w:val="clear" w:color="auto" w:fill="FFFFFF"/>
        </w:rPr>
        <w:t>“Recommendation on Outside Income”  (at p. 1</w:t>
      </w:r>
      <w:r w:rsidR="006F3818">
        <w:rPr>
          <w:rFonts w:ascii="Times New Roman" w:eastAsia="Calibri" w:hAnsi="Times New Roman" w:cs="Times New Roman"/>
          <w:b/>
          <w:bCs/>
          <w:color w:val="333333"/>
          <w:sz w:val="24"/>
          <w:szCs w:val="24"/>
          <w:u w:val="single"/>
          <w:shd w:val="clear" w:color="auto" w:fill="FFFFFF"/>
        </w:rPr>
        <w:t>8</w:t>
      </w:r>
      <w:r>
        <w:rPr>
          <w:rFonts w:ascii="Times New Roman" w:eastAsia="Calibri" w:hAnsi="Times New Roman" w:cs="Times New Roman"/>
          <w:b/>
          <w:bCs/>
          <w:color w:val="333333"/>
          <w:sz w:val="24"/>
          <w:szCs w:val="24"/>
          <w:u w:val="single"/>
          <w:shd w:val="clear" w:color="auto" w:fill="FFFFFF"/>
        </w:rPr>
        <w:t>)</w:t>
      </w:r>
    </w:p>
    <w:p w14:paraId="3DB9DEFD"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The two paragraphs under this heading offer sham justification for the Committee’s recommendation.  The first is: </w:t>
      </w:r>
    </w:p>
    <w:p w14:paraId="6365670C"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442F1C40"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“This Committee is created to ‘examine, evaluate, and make recommendations with respect to adequate levels of compensation.’ This directive authorizes a holistic review and analysis of compensation for Legislators without limiting that analysis to simply setting salary levels.  The list of considerations is extensive, but not exhaustive.  The law explicitly provides that the Committee shall </w:t>
      </w:r>
      <w:proofErr w:type="gramStart"/>
      <w:r>
        <w:rPr>
          <w:rFonts w:ascii="Times New Roman" w:eastAsia="Calibri" w:hAnsi="Times New Roman" w:cs="Times New Roman"/>
          <w:bCs/>
          <w:color w:val="333333"/>
          <w:sz w:val="24"/>
          <w:szCs w:val="24"/>
          <w:shd w:val="clear" w:color="auto" w:fill="FFFFFF"/>
        </w:rPr>
        <w:t>take into account</w:t>
      </w:r>
      <w:proofErr w:type="gramEnd"/>
      <w:r>
        <w:rPr>
          <w:rFonts w:ascii="Times New Roman" w:eastAsia="Calibri" w:hAnsi="Times New Roman" w:cs="Times New Roman"/>
          <w:bCs/>
          <w:color w:val="333333"/>
          <w:sz w:val="24"/>
          <w:szCs w:val="24"/>
          <w:shd w:val="clear" w:color="auto" w:fill="FFFFFF"/>
        </w:rPr>
        <w:t xml:space="preserve"> ‘all appropriate factors.’  Part HHH, Sec. 2.3.  Limiting outside income in conjunction with increases in salary falls squarely within the scope of ‘examining and evaluating adequate levels of compensation.’  It also falls within the broad objective of the Legislature in creating the Commission in the first place.”</w:t>
      </w:r>
    </w:p>
    <w:p w14:paraId="5E5BA029"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7C1C27B9"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This is a deceit.  </w:t>
      </w:r>
    </w:p>
    <w:p w14:paraId="5F2CD473"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55DF1D83"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The definition of “holistic”, by the Merriam-Webster dictionary,</w:t>
      </w:r>
      <w:r>
        <w:rPr>
          <w:rStyle w:val="FootnoteReference"/>
          <w:rFonts w:ascii="Times New Roman" w:eastAsia="Calibri" w:hAnsi="Times New Roman" w:cs="Times New Roman"/>
          <w:bCs/>
          <w:color w:val="333333"/>
          <w:sz w:val="24"/>
          <w:szCs w:val="24"/>
          <w:shd w:val="clear" w:color="auto" w:fill="FFFFFF"/>
        </w:rPr>
        <w:footnoteReference w:id="2"/>
      </w:r>
      <w:r>
        <w:rPr>
          <w:rFonts w:ascii="Times New Roman" w:eastAsia="Calibri" w:hAnsi="Times New Roman" w:cs="Times New Roman"/>
          <w:bCs/>
          <w:color w:val="333333"/>
          <w:sz w:val="24"/>
          <w:szCs w:val="24"/>
          <w:shd w:val="clear" w:color="auto" w:fill="FFFFFF"/>
        </w:rPr>
        <w:t xml:space="preserve"> is “relating to or concerned with wholes or with complete systems rather than the analysis of, treatment of, or dissection into parts”, further elaborated upon by its note 1:</w:t>
      </w:r>
    </w:p>
    <w:p w14:paraId="6B7C0D58"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118D23F" w14:textId="77777777" w:rsidR="00451158" w:rsidRPr="002B660D" w:rsidRDefault="00451158" w:rsidP="00451158">
      <w:pPr>
        <w:shd w:val="clear" w:color="auto" w:fill="FFFFFF"/>
        <w:spacing w:after="0" w:line="240" w:lineRule="auto"/>
        <w:ind w:left="720" w:right="720"/>
        <w:textAlignment w:val="baseline"/>
        <w:outlineLvl w:val="1"/>
        <w:rPr>
          <w:rFonts w:ascii="Times New Roman" w:eastAsia="Times New Roman" w:hAnsi="Times New Roman" w:cs="Times New Roman"/>
          <w:b/>
          <w:bCs/>
          <w:color w:val="000000" w:themeColor="text1"/>
          <w:spacing w:val="5"/>
          <w:sz w:val="24"/>
          <w:szCs w:val="24"/>
        </w:rPr>
      </w:pPr>
      <w:r w:rsidRPr="002B660D">
        <w:rPr>
          <w:rFonts w:ascii="Times New Roman" w:eastAsia="Times New Roman" w:hAnsi="Times New Roman" w:cs="Times New Roman"/>
          <w:b/>
          <w:bCs/>
          <w:color w:val="000000" w:themeColor="text1"/>
          <w:spacing w:val="5"/>
          <w:sz w:val="24"/>
          <w:szCs w:val="24"/>
        </w:rPr>
        <w:t>“Look at the Big Picture With </w:t>
      </w:r>
      <w:r w:rsidRPr="002B660D">
        <w:rPr>
          <w:rFonts w:ascii="Times New Roman" w:eastAsia="Times New Roman" w:hAnsi="Times New Roman" w:cs="Times New Roman"/>
          <w:b/>
          <w:bCs/>
          <w:i/>
          <w:iCs/>
          <w:color w:val="000000" w:themeColor="text1"/>
          <w:spacing w:val="5"/>
          <w:sz w:val="24"/>
          <w:szCs w:val="24"/>
          <w:bdr w:val="none" w:sz="0" w:space="0" w:color="auto" w:frame="1"/>
        </w:rPr>
        <w:t>Holistic</w:t>
      </w:r>
    </w:p>
    <w:p w14:paraId="0046764F" w14:textId="77777777" w:rsidR="00451158" w:rsidRPr="002B6AE2" w:rsidRDefault="00451158" w:rsidP="00451158">
      <w:pPr>
        <w:shd w:val="clear" w:color="auto" w:fill="FFFFFF"/>
        <w:spacing w:after="0" w:line="240" w:lineRule="auto"/>
        <w:ind w:left="720" w:right="720"/>
        <w:textAlignment w:val="baseline"/>
        <w:rPr>
          <w:rFonts w:ascii="Times New Roman" w:eastAsia="Calibri" w:hAnsi="Times New Roman" w:cs="Times New Roman"/>
          <w:bCs/>
          <w:color w:val="333333"/>
          <w:sz w:val="24"/>
          <w:szCs w:val="24"/>
          <w:shd w:val="clear" w:color="auto" w:fill="FFFFFF"/>
        </w:rPr>
      </w:pPr>
      <w:r w:rsidRPr="002B6AE2">
        <w:rPr>
          <w:rFonts w:ascii="Times New Roman" w:eastAsia="Times New Roman" w:hAnsi="Times New Roman" w:cs="Times New Roman"/>
          <w:color w:val="303336"/>
          <w:spacing w:val="3"/>
          <w:sz w:val="24"/>
          <w:szCs w:val="24"/>
        </w:rPr>
        <w:t>‘The whole is greater than the sum of its parts’ expresses the essence of </w:t>
      </w:r>
      <w:r w:rsidRPr="002B6AE2">
        <w:rPr>
          <w:rFonts w:ascii="Times New Roman" w:eastAsia="Times New Roman" w:hAnsi="Times New Roman" w:cs="Times New Roman"/>
          <w:i/>
          <w:iCs/>
          <w:color w:val="303336"/>
          <w:spacing w:val="3"/>
          <w:sz w:val="24"/>
          <w:szCs w:val="24"/>
          <w:bdr w:val="none" w:sz="0" w:space="0" w:color="auto" w:frame="1"/>
        </w:rPr>
        <w:t>holism</w:t>
      </w:r>
      <w:r>
        <w:rPr>
          <w:rFonts w:ascii="Times New Roman" w:eastAsia="Times New Roman" w:hAnsi="Times New Roman" w:cs="Times New Roman"/>
          <w:i/>
          <w:iCs/>
          <w:color w:val="303336"/>
          <w:spacing w:val="3"/>
          <w:sz w:val="24"/>
          <w:szCs w:val="24"/>
          <w:bdr w:val="none" w:sz="0" w:space="0" w:color="auto" w:frame="1"/>
        </w:rPr>
        <w:t xml:space="preserve">… </w:t>
      </w:r>
      <w:r w:rsidRPr="002B6AE2">
        <w:rPr>
          <w:rFonts w:ascii="Times New Roman" w:eastAsia="Times New Roman" w:hAnsi="Times New Roman" w:cs="Times New Roman"/>
          <w:color w:val="303336"/>
          <w:spacing w:val="3"/>
          <w:sz w:val="24"/>
          <w:szCs w:val="24"/>
        </w:rPr>
        <w:t xml:space="preserve">. Holism generally opposes the Western tendency toward analysis, the breaking down of wholes into parts sometimes to the point that ‘you can't see the forest for the </w:t>
      </w:r>
      <w:proofErr w:type="gramStart"/>
      <w:r w:rsidRPr="002B6AE2">
        <w:rPr>
          <w:rFonts w:ascii="Times New Roman" w:eastAsia="Times New Roman" w:hAnsi="Times New Roman" w:cs="Times New Roman"/>
          <w:color w:val="303336"/>
          <w:spacing w:val="3"/>
          <w:sz w:val="24"/>
          <w:szCs w:val="24"/>
        </w:rPr>
        <w:t>trees’</w:t>
      </w:r>
      <w:proofErr w:type="gramEnd"/>
      <w:r w:rsidRPr="002B6AE2">
        <w:rPr>
          <w:rFonts w:ascii="Times New Roman" w:eastAsia="Times New Roman" w:hAnsi="Times New Roman" w:cs="Times New Roman"/>
          <w:color w:val="303336"/>
          <w:spacing w:val="3"/>
          <w:sz w:val="24"/>
          <w:szCs w:val="24"/>
        </w:rPr>
        <w:t>.</w:t>
      </w:r>
      <w:r>
        <w:rPr>
          <w:rFonts w:ascii="Times New Roman" w:eastAsia="Times New Roman" w:hAnsi="Times New Roman" w:cs="Times New Roman"/>
          <w:color w:val="303336"/>
          <w:spacing w:val="3"/>
          <w:sz w:val="24"/>
          <w:szCs w:val="24"/>
        </w:rPr>
        <w:t xml:space="preserve"> </w:t>
      </w:r>
      <w:r w:rsidRPr="002B6AE2">
        <w:rPr>
          <w:rFonts w:ascii="Times New Roman" w:eastAsia="Times New Roman" w:hAnsi="Times New Roman" w:cs="Times New Roman"/>
          <w:color w:val="303336"/>
          <w:spacing w:val="3"/>
          <w:sz w:val="24"/>
          <w:szCs w:val="24"/>
        </w:rPr>
        <w:t xml:space="preserve"> Holism is an important concept in the sciences and social sciences, and especially in medicine. …</w:t>
      </w:r>
      <w:r>
        <w:rPr>
          <w:rFonts w:ascii="Times New Roman" w:eastAsia="Times New Roman" w:hAnsi="Times New Roman" w:cs="Times New Roman"/>
          <w:color w:val="303336"/>
          <w:spacing w:val="3"/>
          <w:sz w:val="24"/>
          <w:szCs w:val="24"/>
        </w:rPr>
        <w:t>”</w:t>
      </w:r>
    </w:p>
    <w:p w14:paraId="2A3569C0"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5E26B54E" w14:textId="6D5DA7E4"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Firstly, if the Committee is purporting to have taken “a holistic review and analysis” of “adequate levels of compensation” for legislators based on the “directive” of </w:t>
      </w:r>
      <w:r w:rsidRPr="00FB1988">
        <w:rPr>
          <w:rFonts w:ascii="Times New Roman" w:hAnsi="Times New Roman" w:cs="Times New Roman"/>
          <w:snapToGrid w:val="0"/>
          <w:sz w:val="24"/>
          <w:szCs w:val="24"/>
        </w:rPr>
        <w:t>§</w:t>
      </w:r>
      <w:r>
        <w:rPr>
          <w:rFonts w:ascii="Times New Roman" w:eastAsia="Calibri" w:hAnsi="Times New Roman" w:cs="Times New Roman"/>
          <w:bCs/>
          <w:color w:val="333333"/>
          <w:sz w:val="24"/>
          <w:szCs w:val="24"/>
          <w:shd w:val="clear" w:color="auto" w:fill="FFFFFF"/>
        </w:rPr>
        <w:t xml:space="preserve">1, the place for it to have started was by </w:t>
      </w:r>
      <w:proofErr w:type="gramStart"/>
      <w:r>
        <w:rPr>
          <w:rFonts w:ascii="Times New Roman" w:eastAsia="Calibri" w:hAnsi="Times New Roman" w:cs="Times New Roman"/>
          <w:bCs/>
          <w:color w:val="333333"/>
          <w:sz w:val="24"/>
          <w:szCs w:val="24"/>
          <w:shd w:val="clear" w:color="auto" w:fill="FFFFFF"/>
        </w:rPr>
        <w:t>actually examining</w:t>
      </w:r>
      <w:proofErr w:type="gramEnd"/>
      <w:r>
        <w:rPr>
          <w:rFonts w:ascii="Times New Roman" w:eastAsia="Calibri" w:hAnsi="Times New Roman" w:cs="Times New Roman"/>
          <w:bCs/>
          <w:color w:val="333333"/>
          <w:sz w:val="24"/>
          <w:szCs w:val="24"/>
          <w:shd w:val="clear" w:color="auto" w:fill="FFFFFF"/>
        </w:rPr>
        <w:t xml:space="preserve"> compensation, which it did not do.  This is reflected by its failure to identify what the components of compensation are – most significantly, pensions and health benefits, which it does not even mention, let alone disclose their dollar value – making its report violative of the statutory requirement that the Committee examine </w:t>
      </w:r>
      <w:r w:rsidR="00615D45">
        <w:rPr>
          <w:rFonts w:ascii="Times New Roman" w:eastAsia="Calibri" w:hAnsi="Times New Roman" w:cs="Times New Roman"/>
          <w:bCs/>
          <w:color w:val="333333"/>
          <w:sz w:val="24"/>
          <w:szCs w:val="24"/>
          <w:shd w:val="clear" w:color="auto" w:fill="FFFFFF"/>
        </w:rPr>
        <w:t xml:space="preserve">adequate levels of </w:t>
      </w:r>
      <w:r>
        <w:rPr>
          <w:rFonts w:ascii="Times New Roman" w:eastAsia="Calibri" w:hAnsi="Times New Roman" w:cs="Times New Roman"/>
          <w:bCs/>
          <w:color w:val="333333"/>
          <w:sz w:val="24"/>
          <w:szCs w:val="24"/>
          <w:shd w:val="clear" w:color="auto" w:fill="FFFFFF"/>
        </w:rPr>
        <w:t xml:space="preserve">compensation and non-salary benefits. Secondly, the “extensive, but not exhaustive” “list of considerations” that the statute enumerates at </w:t>
      </w:r>
      <w:r w:rsidRPr="00FB1988">
        <w:rPr>
          <w:rFonts w:ascii="Times New Roman" w:hAnsi="Times New Roman" w:cs="Times New Roman"/>
          <w:snapToGrid w:val="0"/>
          <w:sz w:val="24"/>
          <w:szCs w:val="24"/>
        </w:rPr>
        <w:t>§</w:t>
      </w:r>
      <w:r>
        <w:rPr>
          <w:rFonts w:ascii="Times New Roman" w:hAnsi="Times New Roman" w:cs="Times New Roman"/>
          <w:snapToGrid w:val="0"/>
          <w:sz w:val="24"/>
          <w:szCs w:val="24"/>
        </w:rPr>
        <w:t xml:space="preserve">2.3 </w:t>
      </w:r>
      <w:r>
        <w:rPr>
          <w:rFonts w:ascii="Times New Roman" w:eastAsia="Calibri" w:hAnsi="Times New Roman" w:cs="Times New Roman"/>
          <w:bCs/>
          <w:color w:val="333333"/>
          <w:sz w:val="24"/>
          <w:szCs w:val="24"/>
          <w:shd w:val="clear" w:color="auto" w:fill="FFFFFF"/>
        </w:rPr>
        <w:t xml:space="preserve">did not include median household income – and such was an “appropriate factor” that the Committee was required to “take into account”, particularly in the context of its allegedly “holistic review and analysis”. </w:t>
      </w:r>
    </w:p>
    <w:p w14:paraId="0E064F4D"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231CE7E9"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lastRenderedPageBreak/>
        <w:t xml:space="preserve">As for the Committee’s bald claim that its recommendation on outside income “falls within the broad objective of the Legislature in creating the Commission in the first place”, it is a flagrant falsehood.   And proving this is the outcry of legislators in the wake of the Committee’s report – including Temporary Senate President Flanagan and Assembly Speaker </w:t>
      </w:r>
      <w:proofErr w:type="spellStart"/>
      <w:r>
        <w:rPr>
          <w:rFonts w:ascii="Times New Roman" w:eastAsia="Calibri" w:hAnsi="Times New Roman" w:cs="Times New Roman"/>
          <w:bCs/>
          <w:color w:val="333333"/>
          <w:sz w:val="24"/>
          <w:szCs w:val="24"/>
          <w:shd w:val="clear" w:color="auto" w:fill="FFFFFF"/>
        </w:rPr>
        <w:t>Heastier</w:t>
      </w:r>
      <w:proofErr w:type="spellEnd"/>
      <w:r>
        <w:rPr>
          <w:rFonts w:ascii="Times New Roman" w:eastAsia="Calibri" w:hAnsi="Times New Roman" w:cs="Times New Roman"/>
          <w:bCs/>
          <w:color w:val="333333"/>
          <w:sz w:val="24"/>
          <w:szCs w:val="24"/>
          <w:shd w:val="clear" w:color="auto" w:fill="FFFFFF"/>
        </w:rPr>
        <w:t xml:space="preserve"> – the “two men in the room” responsible with defendant Cuomo for Part HHH.</w:t>
      </w:r>
    </w:p>
    <w:p w14:paraId="26F98C32" w14:textId="77777777" w:rsidR="00451158" w:rsidRDefault="00451158" w:rsidP="00451158">
      <w:pPr>
        <w:spacing w:after="0" w:line="240" w:lineRule="auto"/>
        <w:ind w:right="1152"/>
        <w:jc w:val="both"/>
        <w:rPr>
          <w:rFonts w:ascii="Times New Roman" w:eastAsia="Calibri" w:hAnsi="Times New Roman" w:cs="Times New Roman"/>
          <w:bCs/>
          <w:color w:val="333333"/>
          <w:sz w:val="24"/>
          <w:szCs w:val="24"/>
          <w:shd w:val="clear" w:color="auto" w:fill="FFFFFF"/>
        </w:rPr>
      </w:pPr>
    </w:p>
    <w:p w14:paraId="4E8416A1" w14:textId="283018D8"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The brief second paragraph reads:</w:t>
      </w:r>
    </w:p>
    <w:p w14:paraId="3C650EBB"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0BF2F986"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“Moreover, among its criteria for examining adequacy is a comparability analysis to the federal government.  It would be difficult to analyze the comparable levels of compensation and use them to set compensation levels without at least considering the concomitant restrictions on outside income.”</w:t>
      </w:r>
    </w:p>
    <w:p w14:paraId="035B3824"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5D8561DE"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This is a deceit.  There are many differences between New York legislative compensation and compensation in “the federal government”, as for instance, members of Congress, who, among other differences are restricted as to outside income.  There is nothing “difficult” about noting such differences and taking them into account – especially as the statute does </w:t>
      </w:r>
      <w:r w:rsidRPr="00CB736D">
        <w:rPr>
          <w:rFonts w:ascii="Times New Roman" w:eastAsia="Calibri" w:hAnsi="Times New Roman" w:cs="Times New Roman"/>
          <w:bCs/>
          <w:color w:val="333333"/>
          <w:sz w:val="24"/>
          <w:szCs w:val="24"/>
          <w:u w:val="single"/>
          <w:shd w:val="clear" w:color="auto" w:fill="FFFFFF"/>
        </w:rPr>
        <w:t>not</w:t>
      </w:r>
      <w:r>
        <w:rPr>
          <w:rFonts w:ascii="Times New Roman" w:eastAsia="Calibri" w:hAnsi="Times New Roman" w:cs="Times New Roman"/>
          <w:bCs/>
          <w:color w:val="333333"/>
          <w:sz w:val="24"/>
          <w:szCs w:val="24"/>
          <w:shd w:val="clear" w:color="auto" w:fill="FFFFFF"/>
        </w:rPr>
        <w:t xml:space="preserve"> task the Committee with setting “comparable levels of compensation”, but, rather, levels that are “adequate”.</w:t>
      </w:r>
    </w:p>
    <w:p w14:paraId="6108629B"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4A5D4DD9" w14:textId="0B19897A" w:rsidR="002A7E3C" w:rsidRDefault="002A7E3C" w:rsidP="006F6462">
      <w:pPr>
        <w:jc w:val="center"/>
        <w:rPr>
          <w:rFonts w:ascii="Times New Roman" w:eastAsia="Calibri" w:hAnsi="Times New Roman" w:cs="Times New Roman"/>
          <w:b/>
          <w:bCs/>
          <w:color w:val="333333"/>
          <w:sz w:val="24"/>
          <w:szCs w:val="24"/>
          <w:u w:val="single"/>
          <w:shd w:val="clear" w:color="auto" w:fill="FFFFFF"/>
        </w:rPr>
      </w:pPr>
      <w:r w:rsidRPr="000B5BA9">
        <w:rPr>
          <w:rFonts w:ascii="Times New Roman" w:eastAsia="Calibri" w:hAnsi="Times New Roman" w:cs="Times New Roman"/>
          <w:b/>
          <w:bCs/>
          <w:color w:val="333333"/>
          <w:sz w:val="24"/>
          <w:szCs w:val="24"/>
          <w:u w:val="single"/>
          <w:shd w:val="clear" w:color="auto" w:fill="FFFFFF"/>
        </w:rPr>
        <w:t xml:space="preserve">“Recommendations on Stipends” (at pp. 18 - </w:t>
      </w:r>
      <w:r w:rsidR="000B5BA9" w:rsidRPr="000B5BA9">
        <w:rPr>
          <w:rFonts w:ascii="Times New Roman" w:eastAsia="Calibri" w:hAnsi="Times New Roman" w:cs="Times New Roman"/>
          <w:b/>
          <w:bCs/>
          <w:color w:val="333333"/>
          <w:sz w:val="24"/>
          <w:szCs w:val="24"/>
          <w:u w:val="single"/>
          <w:shd w:val="clear" w:color="auto" w:fill="FFFFFF"/>
        </w:rPr>
        <w:t>20</w:t>
      </w:r>
      <w:r w:rsidRPr="000B5BA9">
        <w:rPr>
          <w:rFonts w:ascii="Times New Roman" w:eastAsia="Calibri" w:hAnsi="Times New Roman" w:cs="Times New Roman"/>
          <w:b/>
          <w:bCs/>
          <w:color w:val="333333"/>
          <w:sz w:val="24"/>
          <w:szCs w:val="24"/>
          <w:u w:val="single"/>
          <w:shd w:val="clear" w:color="auto" w:fill="FFFFFF"/>
        </w:rPr>
        <w:t>)</w:t>
      </w:r>
    </w:p>
    <w:p w14:paraId="3A92FEC7" w14:textId="600FBF31" w:rsidR="00451158" w:rsidRDefault="006F6462" w:rsidP="00451158">
      <w:pPr>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The 2-1/2 pages under this heading </w:t>
      </w:r>
      <w:r w:rsidR="00451158">
        <w:rPr>
          <w:rFonts w:ascii="Times New Roman" w:eastAsia="Calibri" w:hAnsi="Times New Roman" w:cs="Times New Roman"/>
          <w:bCs/>
          <w:color w:val="333333"/>
          <w:sz w:val="24"/>
          <w:szCs w:val="24"/>
          <w:shd w:val="clear" w:color="auto" w:fill="FFFFFF"/>
        </w:rPr>
        <w:t xml:space="preserve">alternate paragraphs and sentences that are true with those that are deceitful – and false.    </w:t>
      </w:r>
    </w:p>
    <w:p w14:paraId="3444F355" w14:textId="24E19A76" w:rsidR="00451158" w:rsidRDefault="00451158" w:rsidP="00451158">
      <w:pPr>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Thus, </w:t>
      </w:r>
      <w:r w:rsidR="006F6462">
        <w:rPr>
          <w:rFonts w:ascii="Times New Roman" w:eastAsia="Calibri" w:hAnsi="Times New Roman" w:cs="Times New Roman"/>
          <w:bCs/>
          <w:color w:val="333333"/>
          <w:sz w:val="24"/>
          <w:szCs w:val="24"/>
          <w:shd w:val="clear" w:color="auto" w:fill="FFFFFF"/>
        </w:rPr>
        <w:t>the</w:t>
      </w:r>
      <w:r>
        <w:rPr>
          <w:rFonts w:ascii="Times New Roman" w:eastAsia="Calibri" w:hAnsi="Times New Roman" w:cs="Times New Roman"/>
          <w:bCs/>
          <w:color w:val="333333"/>
          <w:sz w:val="24"/>
          <w:szCs w:val="24"/>
          <w:shd w:val="clear" w:color="auto" w:fill="FFFFFF"/>
        </w:rPr>
        <w:t xml:space="preserve"> first paragraph truthfully recites:  </w:t>
      </w:r>
    </w:p>
    <w:p w14:paraId="5437D1F4"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“Article III, Section 6 and Legislative Law Section 5-a provide the authority for special allowances, referred to as legislative stipends, to Legislators.  Pursuant to Article III, Section 6: ‘Any member, while serving as an officer of his or her house or in any other special capacity therein…may also be paid and receive, in addition, any allowance which may be fixed by law for the particular and additional services appertaining to or entailed by such office or special capacity.  Members </w:t>
      </w:r>
      <w:r w:rsidRPr="00F377CA">
        <w:rPr>
          <w:rFonts w:ascii="Times New Roman" w:eastAsia="Calibri" w:hAnsi="Times New Roman" w:cs="Times New Roman"/>
          <w:bCs/>
          <w:color w:val="333333"/>
          <w:sz w:val="24"/>
          <w:szCs w:val="24"/>
          <w:shd w:val="clear" w:color="auto" w:fill="FFFFFF"/>
        </w:rPr>
        <w:t>shall continue to receive such salary and additional allowances as heretofore fixed and provided in this section, until changed by law pursuant to this section.</w:t>
      </w:r>
      <w:r>
        <w:rPr>
          <w:rFonts w:ascii="Times New Roman" w:eastAsia="Calibri" w:hAnsi="Times New Roman" w:cs="Times New Roman"/>
          <w:bCs/>
          <w:color w:val="333333"/>
          <w:sz w:val="24"/>
          <w:szCs w:val="24"/>
          <w:shd w:val="clear" w:color="auto" w:fill="FFFFFF"/>
        </w:rPr>
        <w:t xml:space="preserve">’ N.Y. Const. Article III, </w:t>
      </w:r>
      <w:bookmarkStart w:id="13" w:name="_Hlk534421185"/>
      <w:r w:rsidRPr="00F377CA">
        <w:rPr>
          <w:rFonts w:ascii="Times New Roman" w:eastAsia="Times New Roman" w:hAnsi="Times New Roman" w:cs="Times New Roman"/>
          <w:snapToGrid w:val="0"/>
          <w:sz w:val="24"/>
          <w:szCs w:val="24"/>
        </w:rPr>
        <w:t>§</w:t>
      </w:r>
      <w:bookmarkEnd w:id="13"/>
      <w:r>
        <w:rPr>
          <w:rFonts w:ascii="Times New Roman" w:eastAsia="Calibri" w:hAnsi="Times New Roman" w:cs="Times New Roman"/>
          <w:bCs/>
          <w:color w:val="333333"/>
          <w:sz w:val="24"/>
          <w:szCs w:val="24"/>
          <w:shd w:val="clear" w:color="auto" w:fill="FFFFFF"/>
        </w:rPr>
        <w:t>6 (emphasis added).”</w:t>
      </w:r>
    </w:p>
    <w:p w14:paraId="7C7E61D1"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77B8983"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The second paragraph is also accurate in stating:  </w:t>
      </w:r>
    </w:p>
    <w:p w14:paraId="7957205B"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E8144FD"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“The constitutional provision is permissive, indicating such allowances ‘may’ be fixed by law.  The use of the term ‘may’ in a statute or constitution generally indicated discretion”</w:t>
      </w:r>
      <w:r>
        <w:rPr>
          <w:rFonts w:ascii="Times New Roman" w:eastAsia="Calibri" w:hAnsi="Times New Roman" w:cs="Times New Roman"/>
          <w:bCs/>
          <w:color w:val="333333"/>
          <w:sz w:val="24"/>
          <w:szCs w:val="24"/>
          <w:shd w:val="clear" w:color="auto" w:fill="FFFFFF"/>
        </w:rPr>
        <w:t>,</w:t>
      </w:r>
    </w:p>
    <w:p w14:paraId="6040502F"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E5116B5"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This same paragraph, however, is misleading because </w:t>
      </w:r>
      <w:r w:rsidRPr="00F377CA">
        <w:rPr>
          <w:rFonts w:ascii="Times New Roman" w:eastAsia="Calibri" w:hAnsi="Times New Roman" w:cs="Times New Roman"/>
          <w:bCs/>
          <w:color w:val="333333"/>
          <w:sz w:val="24"/>
          <w:szCs w:val="24"/>
          <w:shd w:val="clear" w:color="auto" w:fill="FFFFFF"/>
        </w:rPr>
        <w:t xml:space="preserve">the allowances </w:t>
      </w:r>
      <w:r>
        <w:rPr>
          <w:rFonts w:ascii="Times New Roman" w:eastAsia="Calibri" w:hAnsi="Times New Roman" w:cs="Times New Roman"/>
          <w:bCs/>
          <w:color w:val="333333"/>
          <w:sz w:val="24"/>
          <w:szCs w:val="24"/>
          <w:shd w:val="clear" w:color="auto" w:fill="FFFFFF"/>
        </w:rPr>
        <w:t>have been</w:t>
      </w:r>
      <w:r w:rsidRPr="00F377CA">
        <w:rPr>
          <w:rFonts w:ascii="Times New Roman" w:eastAsia="Calibri" w:hAnsi="Times New Roman" w:cs="Times New Roman"/>
          <w:bCs/>
          <w:color w:val="333333"/>
          <w:sz w:val="24"/>
          <w:szCs w:val="24"/>
          <w:shd w:val="clear" w:color="auto" w:fill="FFFFFF"/>
        </w:rPr>
        <w:t xml:space="preserve"> “fixed by law”, </w:t>
      </w:r>
      <w:r w:rsidRPr="00A175D9">
        <w:rPr>
          <w:rFonts w:ascii="Times New Roman" w:eastAsia="Calibri" w:hAnsi="Times New Roman" w:cs="Times New Roman"/>
          <w:bCs/>
          <w:i/>
          <w:color w:val="333333"/>
          <w:sz w:val="24"/>
          <w:szCs w:val="24"/>
          <w:shd w:val="clear" w:color="auto" w:fill="FFFFFF"/>
        </w:rPr>
        <w:t>to wit</w:t>
      </w:r>
      <w:r>
        <w:rPr>
          <w:rFonts w:ascii="Times New Roman" w:eastAsia="Calibri" w:hAnsi="Times New Roman" w:cs="Times New Roman"/>
          <w:bCs/>
          <w:color w:val="333333"/>
          <w:sz w:val="24"/>
          <w:szCs w:val="24"/>
          <w:shd w:val="clear" w:color="auto" w:fill="FFFFFF"/>
        </w:rPr>
        <w:t xml:space="preserve">, by </w:t>
      </w:r>
      <w:r w:rsidRPr="00F377CA">
        <w:rPr>
          <w:rFonts w:ascii="Times New Roman" w:eastAsia="Calibri" w:hAnsi="Times New Roman" w:cs="Times New Roman"/>
          <w:bCs/>
          <w:color w:val="333333"/>
          <w:sz w:val="24"/>
          <w:szCs w:val="24"/>
          <w:shd w:val="clear" w:color="auto" w:fill="FFFFFF"/>
        </w:rPr>
        <w:t xml:space="preserve">Legislative Law </w:t>
      </w:r>
      <w:r w:rsidRPr="00F377CA">
        <w:rPr>
          <w:rFonts w:ascii="Times New Roman" w:eastAsia="Times New Roman" w:hAnsi="Times New Roman" w:cs="Times New Roman"/>
          <w:snapToGrid w:val="0"/>
          <w:sz w:val="24"/>
          <w:szCs w:val="24"/>
        </w:rPr>
        <w:t>§</w:t>
      </w:r>
      <w:r w:rsidRPr="00F377CA">
        <w:rPr>
          <w:rFonts w:ascii="Times New Roman" w:eastAsia="Calibri" w:hAnsi="Times New Roman" w:cs="Times New Roman"/>
          <w:bCs/>
          <w:color w:val="333333"/>
          <w:sz w:val="24"/>
          <w:szCs w:val="24"/>
          <w:shd w:val="clear" w:color="auto" w:fill="FFFFFF"/>
        </w:rPr>
        <w:t>5-a, with the consequence that the</w:t>
      </w:r>
      <w:r>
        <w:rPr>
          <w:rFonts w:ascii="Times New Roman" w:eastAsia="Calibri" w:hAnsi="Times New Roman" w:cs="Times New Roman"/>
          <w:bCs/>
          <w:color w:val="333333"/>
          <w:sz w:val="24"/>
          <w:szCs w:val="24"/>
          <w:shd w:val="clear" w:color="auto" w:fill="FFFFFF"/>
        </w:rPr>
        <w:t xml:space="preserve">re is nothing discretionary about the </w:t>
      </w:r>
      <w:r>
        <w:rPr>
          <w:rFonts w:ascii="Times New Roman" w:eastAsia="Calibri" w:hAnsi="Times New Roman" w:cs="Times New Roman"/>
          <w:bCs/>
          <w:color w:val="333333"/>
          <w:sz w:val="24"/>
          <w:szCs w:val="24"/>
          <w:shd w:val="clear" w:color="auto" w:fill="FFFFFF"/>
        </w:rPr>
        <w:lastRenderedPageBreak/>
        <w:t xml:space="preserve">stipend amounts – or that they can only be “changed by law” – the quoted last sentence of Article III, </w:t>
      </w:r>
      <w:r w:rsidRPr="00F377CA">
        <w:rPr>
          <w:rFonts w:ascii="Times New Roman" w:eastAsia="Times New Roman" w:hAnsi="Times New Roman" w:cs="Times New Roman"/>
          <w:snapToGrid w:val="0"/>
          <w:sz w:val="24"/>
          <w:szCs w:val="24"/>
        </w:rPr>
        <w:t>§</w:t>
      </w:r>
      <w:r>
        <w:rPr>
          <w:rFonts w:ascii="Times New Roman" w:eastAsia="Calibri" w:hAnsi="Times New Roman" w:cs="Times New Roman"/>
          <w:bCs/>
          <w:color w:val="333333"/>
          <w:sz w:val="24"/>
          <w:szCs w:val="24"/>
          <w:shd w:val="clear" w:color="auto" w:fill="FFFFFF"/>
        </w:rPr>
        <w:t>6</w:t>
      </w:r>
      <w:r w:rsidRPr="00F377CA">
        <w:rPr>
          <w:rFonts w:ascii="Times New Roman" w:eastAsia="Calibri" w:hAnsi="Times New Roman" w:cs="Times New Roman"/>
          <w:bCs/>
          <w:color w:val="333333"/>
          <w:sz w:val="24"/>
          <w:szCs w:val="24"/>
          <w:shd w:val="clear" w:color="auto" w:fill="FFFFFF"/>
        </w:rPr>
        <w:t xml:space="preserve"> </w:t>
      </w:r>
      <w:r>
        <w:rPr>
          <w:rFonts w:ascii="Times New Roman" w:eastAsia="Calibri" w:hAnsi="Times New Roman" w:cs="Times New Roman"/>
          <w:bCs/>
          <w:color w:val="333333"/>
          <w:sz w:val="24"/>
          <w:szCs w:val="24"/>
          <w:shd w:val="clear" w:color="auto" w:fill="FFFFFF"/>
        </w:rPr>
        <w:t xml:space="preserve">reading: </w:t>
      </w:r>
    </w:p>
    <w:p w14:paraId="27E0EC5B"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7AD82749"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“Members </w:t>
      </w:r>
      <w:r w:rsidRPr="00A175D9">
        <w:rPr>
          <w:rFonts w:ascii="Times New Roman" w:eastAsia="Calibri" w:hAnsi="Times New Roman" w:cs="Times New Roman"/>
          <w:bCs/>
          <w:color w:val="333333"/>
          <w:sz w:val="24"/>
          <w:szCs w:val="24"/>
          <w:u w:val="single"/>
          <w:shd w:val="clear" w:color="auto" w:fill="FFFFFF"/>
        </w:rPr>
        <w:t>shall</w:t>
      </w:r>
      <w:r w:rsidRPr="00F377CA">
        <w:rPr>
          <w:rFonts w:ascii="Times New Roman" w:eastAsia="Calibri" w:hAnsi="Times New Roman" w:cs="Times New Roman"/>
          <w:bCs/>
          <w:color w:val="333333"/>
          <w:sz w:val="24"/>
          <w:szCs w:val="24"/>
          <w:shd w:val="clear" w:color="auto" w:fill="FFFFFF"/>
        </w:rPr>
        <w:t xml:space="preserve"> continue to receive such salary and additional allowances as heretofore fixed and provided in this section, until changed by law pursuant to this section.”</w:t>
      </w:r>
      <w:r>
        <w:rPr>
          <w:rFonts w:ascii="Times New Roman" w:eastAsia="Calibri" w:hAnsi="Times New Roman" w:cs="Times New Roman"/>
          <w:bCs/>
          <w:color w:val="333333"/>
          <w:sz w:val="24"/>
          <w:szCs w:val="24"/>
          <w:shd w:val="clear" w:color="auto" w:fill="FFFFFF"/>
        </w:rPr>
        <w:t xml:space="preserve"> (underlining added).  </w:t>
      </w:r>
    </w:p>
    <w:p w14:paraId="51681F9E" w14:textId="77777777" w:rsidR="00451158"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p>
    <w:p w14:paraId="2291D33B"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The operative word is “shall”, which is </w:t>
      </w:r>
      <w:r w:rsidRPr="00F377CA">
        <w:rPr>
          <w:rFonts w:ascii="Times New Roman" w:eastAsia="Calibri" w:hAnsi="Times New Roman" w:cs="Times New Roman"/>
          <w:bCs/>
          <w:color w:val="333333"/>
          <w:sz w:val="24"/>
          <w:szCs w:val="24"/>
          <w:shd w:val="clear" w:color="auto" w:fill="FFFFFF"/>
        </w:rPr>
        <w:t>mandatory.</w:t>
      </w:r>
    </w:p>
    <w:p w14:paraId="4F614850"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622002A5"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The </w:t>
      </w:r>
      <w:r>
        <w:rPr>
          <w:rFonts w:ascii="Times New Roman" w:eastAsia="Calibri" w:hAnsi="Times New Roman" w:cs="Times New Roman"/>
          <w:bCs/>
          <w:color w:val="333333"/>
          <w:sz w:val="24"/>
          <w:szCs w:val="24"/>
          <w:shd w:val="clear" w:color="auto" w:fill="FFFFFF"/>
        </w:rPr>
        <w:t xml:space="preserve">next paragraph is true, other than its possible false implication in its first sentence that a “permissive” constitutional provision has created a permissive statute: </w:t>
      </w:r>
    </w:p>
    <w:p w14:paraId="01126F21"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B3DE9C7"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“Section 5-a implements this provision and sets forth an allowance schedule to be paid to members of either house of the Legislature based on their specific positions.  See N.Y. Leg. L. 5-a (2018).  </w:t>
      </w:r>
      <w:r w:rsidRPr="00F377CA">
        <w:rPr>
          <w:rFonts w:ascii="Times New Roman" w:eastAsia="Calibri" w:hAnsi="Times New Roman" w:cs="Times New Roman"/>
          <w:bCs/>
          <w:color w:val="333333"/>
          <w:sz w:val="24"/>
          <w:szCs w:val="24"/>
          <w:shd w:val="clear" w:color="auto" w:fill="FFFFFF"/>
        </w:rPr>
        <w:t xml:space="preserve">From 1976 through 2000, the number of members eligible for allowances and their respective allowance amounts increased.  For example, in 1976, there were 8 senate officers listed (the highest allowance for this category was $21,000), 48 senators serving in special capacity (the highest allowance for this category was $18,000), 16 assembly officers (the highest allowance for this category was $21,000), and 54 assembly members serving in special capacity (the highest allowance for this category was $18,000). See N.Y. Leg. L. </w:t>
      </w:r>
      <w:r w:rsidRPr="00F377CA">
        <w:rPr>
          <w:rFonts w:ascii="Times New Roman" w:eastAsia="Times New Roman" w:hAnsi="Times New Roman" w:cs="Times New Roman"/>
          <w:snapToGrid w:val="0"/>
          <w:sz w:val="24"/>
          <w:szCs w:val="24"/>
        </w:rPr>
        <w:t>§</w:t>
      </w:r>
      <w:r w:rsidRPr="00F377CA">
        <w:rPr>
          <w:rFonts w:ascii="Times New Roman" w:eastAsia="Calibri" w:hAnsi="Times New Roman" w:cs="Times New Roman"/>
          <w:bCs/>
          <w:color w:val="333333"/>
          <w:sz w:val="24"/>
          <w:szCs w:val="24"/>
          <w:shd w:val="clear" w:color="auto" w:fill="FFFFFF"/>
        </w:rPr>
        <w:t>5-a (1976).  In 2000, this number was increased to 24 senate officers (the highest allowance for this category was and rema</w:t>
      </w:r>
      <w:r>
        <w:rPr>
          <w:rFonts w:ascii="Times New Roman" w:eastAsia="Calibri" w:hAnsi="Times New Roman" w:cs="Times New Roman"/>
          <w:bCs/>
          <w:color w:val="333333"/>
          <w:sz w:val="24"/>
          <w:szCs w:val="24"/>
          <w:shd w:val="clear" w:color="auto" w:fill="FFFFFF"/>
        </w:rPr>
        <w:t>i</w:t>
      </w:r>
      <w:r w:rsidRPr="00F377CA">
        <w:rPr>
          <w:rFonts w:ascii="Times New Roman" w:eastAsia="Calibri" w:hAnsi="Times New Roman" w:cs="Times New Roman"/>
          <w:bCs/>
          <w:color w:val="333333"/>
          <w:sz w:val="24"/>
          <w:szCs w:val="24"/>
          <w:shd w:val="clear" w:color="auto" w:fill="FFFFFF"/>
        </w:rPr>
        <w:t xml:space="preserve">ns $41,5000), 63 senators serving in a special capacity (the highest allowance for this category was $34,000), 34 assembly officers (the highest allowance for this category was and is $41,500), 74 assembly members serving in a special capacity (the highest allowance for this category was $34,000), and 8 assembly members serving in a special capacity (the highest allowance for this category was $12,500).  See N.Y. Leg. L. </w:t>
      </w:r>
      <w:r w:rsidRPr="00F377CA">
        <w:rPr>
          <w:rFonts w:ascii="Times New Roman" w:eastAsia="Times New Roman" w:hAnsi="Times New Roman" w:cs="Times New Roman"/>
          <w:snapToGrid w:val="0"/>
          <w:sz w:val="24"/>
          <w:szCs w:val="24"/>
        </w:rPr>
        <w:t>§</w:t>
      </w:r>
      <w:r w:rsidRPr="00F377CA">
        <w:rPr>
          <w:rFonts w:ascii="Times New Roman" w:eastAsia="Calibri" w:hAnsi="Times New Roman" w:cs="Times New Roman"/>
          <w:bCs/>
          <w:color w:val="333333"/>
          <w:sz w:val="24"/>
          <w:szCs w:val="24"/>
          <w:shd w:val="clear" w:color="auto" w:fill="FFFFFF"/>
        </w:rPr>
        <w:t xml:space="preserve">5-a (2000).  The numbers of eligible members and their respective allowance amounts have remained unchanged since 2000.  See N.Y. Leg. L. </w:t>
      </w:r>
      <w:r w:rsidRPr="00F377CA">
        <w:rPr>
          <w:rFonts w:ascii="Times New Roman" w:eastAsia="Times New Roman" w:hAnsi="Times New Roman" w:cs="Times New Roman"/>
          <w:snapToGrid w:val="0"/>
          <w:sz w:val="24"/>
          <w:szCs w:val="24"/>
        </w:rPr>
        <w:t>§</w:t>
      </w:r>
      <w:r w:rsidRPr="00F377CA">
        <w:rPr>
          <w:rFonts w:ascii="Times New Roman" w:eastAsia="Calibri" w:hAnsi="Times New Roman" w:cs="Times New Roman"/>
          <w:bCs/>
          <w:color w:val="333333"/>
          <w:sz w:val="24"/>
          <w:szCs w:val="24"/>
          <w:shd w:val="clear" w:color="auto" w:fill="FFFFFF"/>
        </w:rPr>
        <w:t>5-a (2018).”</w:t>
      </w:r>
    </w:p>
    <w:p w14:paraId="513E5840"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5FCC7633"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This is followed by a paragraph stating:</w:t>
      </w:r>
    </w:p>
    <w:p w14:paraId="41DF7265"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4346DCD"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“No other state comes close to New York in the number of stipends for serving in a special capacity.  </w:t>
      </w:r>
      <w:r w:rsidRPr="00F377CA">
        <w:rPr>
          <w:rFonts w:ascii="Times New Roman" w:eastAsia="Calibri" w:hAnsi="Times New Roman" w:cs="Times New Roman"/>
          <w:bCs/>
          <w:color w:val="333333"/>
          <w:sz w:val="24"/>
          <w:szCs w:val="24"/>
          <w:u w:val="single"/>
          <w:shd w:val="clear" w:color="auto" w:fill="FFFFFF"/>
        </w:rPr>
        <w:t>Since many of the ‘additional’ duties of these positions would be minimal, if there were additional duties at all, it stands to reason that the number and size of these stipends has been inflated to offset a stagnating base wage.</w:t>
      </w:r>
      <w:r w:rsidRPr="00F377CA">
        <w:rPr>
          <w:rFonts w:ascii="Times New Roman" w:eastAsia="Calibri" w:hAnsi="Times New Roman" w:cs="Times New Roman"/>
          <w:bCs/>
          <w:color w:val="333333"/>
          <w:sz w:val="24"/>
          <w:szCs w:val="24"/>
          <w:shd w:val="clear" w:color="auto" w:fill="FFFFFF"/>
        </w:rPr>
        <w:t>”</w:t>
      </w:r>
    </w:p>
    <w:p w14:paraId="5A651488"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72D1950C"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The </w:t>
      </w:r>
      <w:r>
        <w:rPr>
          <w:rFonts w:ascii="Times New Roman" w:eastAsia="Calibri" w:hAnsi="Times New Roman" w:cs="Times New Roman"/>
          <w:bCs/>
          <w:color w:val="333333"/>
          <w:sz w:val="24"/>
          <w:szCs w:val="24"/>
          <w:shd w:val="clear" w:color="auto" w:fill="FFFFFF"/>
        </w:rPr>
        <w:t xml:space="preserve">inference of the second sentence is </w:t>
      </w:r>
      <w:r w:rsidRPr="00F377CA">
        <w:rPr>
          <w:rFonts w:ascii="Times New Roman" w:eastAsia="Calibri" w:hAnsi="Times New Roman" w:cs="Times New Roman"/>
          <w:bCs/>
          <w:color w:val="333333"/>
          <w:sz w:val="24"/>
          <w:szCs w:val="24"/>
          <w:shd w:val="clear" w:color="auto" w:fill="FFFFFF"/>
        </w:rPr>
        <w:t xml:space="preserve">that the added </w:t>
      </w:r>
      <w:r>
        <w:rPr>
          <w:rFonts w:ascii="Times New Roman" w:eastAsia="Calibri" w:hAnsi="Times New Roman" w:cs="Times New Roman"/>
          <w:bCs/>
          <w:color w:val="333333"/>
          <w:sz w:val="24"/>
          <w:szCs w:val="24"/>
          <w:shd w:val="clear" w:color="auto" w:fill="FFFFFF"/>
        </w:rPr>
        <w:t xml:space="preserve">number of </w:t>
      </w:r>
      <w:r w:rsidRPr="00F377CA">
        <w:rPr>
          <w:rFonts w:ascii="Times New Roman" w:eastAsia="Calibri" w:hAnsi="Times New Roman" w:cs="Times New Roman"/>
          <w:bCs/>
          <w:color w:val="333333"/>
          <w:sz w:val="24"/>
          <w:szCs w:val="24"/>
          <w:shd w:val="clear" w:color="auto" w:fill="FFFFFF"/>
        </w:rPr>
        <w:t xml:space="preserve">stipend-earning positions </w:t>
      </w:r>
      <w:r>
        <w:rPr>
          <w:rFonts w:ascii="Times New Roman" w:eastAsia="Calibri" w:hAnsi="Times New Roman" w:cs="Times New Roman"/>
          <w:bCs/>
          <w:color w:val="333333"/>
          <w:sz w:val="24"/>
          <w:szCs w:val="24"/>
          <w:shd w:val="clear" w:color="auto" w:fill="FFFFFF"/>
        </w:rPr>
        <w:t xml:space="preserve">resulting from the 2000 amendment </w:t>
      </w:r>
      <w:r w:rsidRPr="00F377CA">
        <w:rPr>
          <w:rFonts w:ascii="Times New Roman" w:eastAsia="Calibri" w:hAnsi="Times New Roman" w:cs="Times New Roman"/>
          <w:bCs/>
          <w:color w:val="333333"/>
          <w:sz w:val="24"/>
          <w:szCs w:val="24"/>
          <w:shd w:val="clear" w:color="auto" w:fill="FFFFFF"/>
        </w:rPr>
        <w:t>were sham</w:t>
      </w:r>
      <w:r>
        <w:rPr>
          <w:rFonts w:ascii="Times New Roman" w:eastAsia="Calibri" w:hAnsi="Times New Roman" w:cs="Times New Roman"/>
          <w:bCs/>
          <w:color w:val="333333"/>
          <w:sz w:val="24"/>
          <w:szCs w:val="24"/>
          <w:shd w:val="clear" w:color="auto" w:fill="FFFFFF"/>
        </w:rPr>
        <w:t xml:space="preserve">.  However, the Committee does not </w:t>
      </w:r>
      <w:r w:rsidRPr="00F377CA">
        <w:rPr>
          <w:rFonts w:ascii="Times New Roman" w:eastAsia="Calibri" w:hAnsi="Times New Roman" w:cs="Times New Roman"/>
          <w:bCs/>
          <w:color w:val="333333"/>
          <w:sz w:val="24"/>
          <w:szCs w:val="24"/>
          <w:shd w:val="clear" w:color="auto" w:fill="FFFFFF"/>
        </w:rPr>
        <w:t xml:space="preserve">identify </w:t>
      </w:r>
      <w:r>
        <w:rPr>
          <w:rFonts w:ascii="Times New Roman" w:eastAsia="Calibri" w:hAnsi="Times New Roman" w:cs="Times New Roman"/>
          <w:bCs/>
          <w:color w:val="333333"/>
          <w:sz w:val="24"/>
          <w:szCs w:val="24"/>
          <w:shd w:val="clear" w:color="auto" w:fill="FFFFFF"/>
        </w:rPr>
        <w:t xml:space="preserve">this </w:t>
      </w:r>
      <w:r w:rsidRPr="00F377CA">
        <w:rPr>
          <w:rFonts w:ascii="Times New Roman" w:eastAsia="Calibri" w:hAnsi="Times New Roman" w:cs="Times New Roman"/>
          <w:bCs/>
          <w:color w:val="333333"/>
          <w:sz w:val="24"/>
          <w:szCs w:val="24"/>
          <w:shd w:val="clear" w:color="auto" w:fill="FFFFFF"/>
        </w:rPr>
        <w:t>larceny of taxpayer dollars</w:t>
      </w:r>
      <w:r>
        <w:rPr>
          <w:rFonts w:ascii="Times New Roman" w:eastAsia="Calibri" w:hAnsi="Times New Roman" w:cs="Times New Roman"/>
          <w:bCs/>
          <w:color w:val="333333"/>
          <w:sz w:val="24"/>
          <w:szCs w:val="24"/>
          <w:shd w:val="clear" w:color="auto" w:fill="FFFFFF"/>
        </w:rPr>
        <w:t xml:space="preserve">, spanning the past 18 years.  Instead, it states: </w:t>
      </w:r>
      <w:r w:rsidRPr="00F377CA">
        <w:rPr>
          <w:rFonts w:ascii="Times New Roman" w:eastAsia="Calibri" w:hAnsi="Times New Roman" w:cs="Times New Roman"/>
          <w:bCs/>
          <w:color w:val="333333"/>
          <w:sz w:val="24"/>
          <w:szCs w:val="24"/>
          <w:shd w:val="clear" w:color="auto" w:fill="FFFFFF"/>
        </w:rPr>
        <w:t>“it stands to reason that the number and size of these stipends has been inflated to offset a stagnating base wage.”   This is</w:t>
      </w:r>
      <w:r>
        <w:rPr>
          <w:rFonts w:ascii="Times New Roman" w:eastAsia="Calibri" w:hAnsi="Times New Roman" w:cs="Times New Roman"/>
          <w:bCs/>
          <w:color w:val="333333"/>
          <w:sz w:val="24"/>
          <w:szCs w:val="24"/>
          <w:shd w:val="clear" w:color="auto" w:fill="FFFFFF"/>
        </w:rPr>
        <w:t xml:space="preserve"> </w:t>
      </w:r>
      <w:r>
        <w:rPr>
          <w:rFonts w:ascii="Times New Roman" w:eastAsia="Calibri" w:hAnsi="Times New Roman" w:cs="Times New Roman"/>
          <w:bCs/>
          <w:color w:val="333333"/>
          <w:sz w:val="24"/>
          <w:szCs w:val="24"/>
          <w:shd w:val="clear" w:color="auto" w:fill="FFFFFF"/>
        </w:rPr>
        <w:lastRenderedPageBreak/>
        <w:t xml:space="preserve">not only a cover-up, but </w:t>
      </w:r>
      <w:r w:rsidRPr="00F377CA">
        <w:rPr>
          <w:rFonts w:ascii="Times New Roman" w:eastAsia="Calibri" w:hAnsi="Times New Roman" w:cs="Times New Roman"/>
          <w:bCs/>
          <w:color w:val="333333"/>
          <w:sz w:val="24"/>
          <w:szCs w:val="24"/>
          <w:shd w:val="clear" w:color="auto" w:fill="FFFFFF"/>
        </w:rPr>
        <w:t>false</w:t>
      </w:r>
      <w:r>
        <w:rPr>
          <w:rFonts w:ascii="Times New Roman" w:eastAsia="Calibri" w:hAnsi="Times New Roman" w:cs="Times New Roman"/>
          <w:bCs/>
          <w:color w:val="333333"/>
          <w:sz w:val="24"/>
          <w:szCs w:val="24"/>
          <w:shd w:val="clear" w:color="auto" w:fill="FFFFFF"/>
        </w:rPr>
        <w:t xml:space="preserve">.  On January 1, 1999, base legislative salaries had been increased to $79,500.  Thus, in 2000, there was no </w:t>
      </w:r>
      <w:r w:rsidRPr="00F377CA">
        <w:rPr>
          <w:rFonts w:ascii="Times New Roman" w:eastAsia="Calibri" w:hAnsi="Times New Roman" w:cs="Times New Roman"/>
          <w:bCs/>
          <w:color w:val="333333"/>
          <w:sz w:val="24"/>
          <w:szCs w:val="24"/>
          <w:shd w:val="clear" w:color="auto" w:fill="FFFFFF"/>
        </w:rPr>
        <w:t xml:space="preserve">“stagnating base wage” </w:t>
      </w:r>
      <w:r>
        <w:rPr>
          <w:rFonts w:ascii="Times New Roman" w:eastAsia="Calibri" w:hAnsi="Times New Roman" w:cs="Times New Roman"/>
          <w:bCs/>
          <w:color w:val="333333"/>
          <w:sz w:val="24"/>
          <w:szCs w:val="24"/>
          <w:shd w:val="clear" w:color="auto" w:fill="FFFFFF"/>
        </w:rPr>
        <w:t xml:space="preserve">being offset by </w:t>
      </w:r>
      <w:r w:rsidRPr="00F377CA">
        <w:rPr>
          <w:rFonts w:ascii="Times New Roman" w:eastAsia="Calibri" w:hAnsi="Times New Roman" w:cs="Times New Roman"/>
          <w:bCs/>
          <w:color w:val="333333"/>
          <w:sz w:val="24"/>
          <w:szCs w:val="24"/>
          <w:shd w:val="clear" w:color="auto" w:fill="FFFFFF"/>
        </w:rPr>
        <w:t xml:space="preserve">amendment of Legislative Law </w:t>
      </w:r>
      <w:r w:rsidRPr="00F377CA">
        <w:rPr>
          <w:rFonts w:ascii="Times New Roman" w:eastAsia="Times New Roman" w:hAnsi="Times New Roman" w:cs="Times New Roman"/>
          <w:snapToGrid w:val="0"/>
          <w:sz w:val="24"/>
          <w:szCs w:val="24"/>
        </w:rPr>
        <w:t>§</w:t>
      </w:r>
      <w:r w:rsidRPr="00F377CA">
        <w:rPr>
          <w:rFonts w:ascii="Times New Roman" w:eastAsia="Calibri" w:hAnsi="Times New Roman" w:cs="Times New Roman"/>
          <w:bCs/>
          <w:color w:val="333333"/>
          <w:sz w:val="24"/>
          <w:szCs w:val="24"/>
          <w:shd w:val="clear" w:color="auto" w:fill="FFFFFF"/>
        </w:rPr>
        <w:t>5-a, increasing the number and amounts</w:t>
      </w:r>
      <w:r>
        <w:rPr>
          <w:rFonts w:ascii="Times New Roman" w:eastAsia="Calibri" w:hAnsi="Times New Roman" w:cs="Times New Roman"/>
          <w:bCs/>
          <w:color w:val="333333"/>
          <w:sz w:val="24"/>
          <w:szCs w:val="24"/>
          <w:shd w:val="clear" w:color="auto" w:fill="FFFFFF"/>
        </w:rPr>
        <w:t xml:space="preserve"> of the stipends.</w:t>
      </w:r>
    </w:p>
    <w:p w14:paraId="6D4FDFEC"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2C4E5699"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The next two paragraphs are then devoted to showing that </w:t>
      </w:r>
      <w:r>
        <w:rPr>
          <w:rFonts w:ascii="Times New Roman" w:eastAsia="Calibri" w:hAnsi="Times New Roman" w:cs="Times New Roman"/>
          <w:bCs/>
          <w:color w:val="333333"/>
          <w:sz w:val="24"/>
          <w:szCs w:val="24"/>
          <w:shd w:val="clear" w:color="auto" w:fill="FFFFFF"/>
        </w:rPr>
        <w:t>the statute a</w:t>
      </w:r>
      <w:r w:rsidRPr="00F377CA">
        <w:rPr>
          <w:rFonts w:ascii="Times New Roman" w:eastAsia="Calibri" w:hAnsi="Times New Roman" w:cs="Times New Roman"/>
          <w:bCs/>
          <w:color w:val="333333"/>
          <w:sz w:val="24"/>
          <w:szCs w:val="24"/>
          <w:shd w:val="clear" w:color="auto" w:fill="FFFFFF"/>
        </w:rPr>
        <w:t>uthorizes the Committee to eliminate the stipends.   The first</w:t>
      </w:r>
      <w:r>
        <w:rPr>
          <w:rFonts w:ascii="Times New Roman" w:eastAsia="Calibri" w:hAnsi="Times New Roman" w:cs="Times New Roman"/>
          <w:bCs/>
          <w:color w:val="333333"/>
          <w:sz w:val="24"/>
          <w:szCs w:val="24"/>
          <w:shd w:val="clear" w:color="auto" w:fill="FFFFFF"/>
        </w:rPr>
        <w:t xml:space="preserve"> paragraph</w:t>
      </w:r>
      <w:r w:rsidRPr="00F377CA">
        <w:rPr>
          <w:rFonts w:ascii="Times New Roman" w:eastAsia="Calibri" w:hAnsi="Times New Roman" w:cs="Times New Roman"/>
          <w:bCs/>
          <w:color w:val="333333"/>
          <w:sz w:val="24"/>
          <w:szCs w:val="24"/>
          <w:shd w:val="clear" w:color="auto" w:fill="FFFFFF"/>
        </w:rPr>
        <w:t xml:space="preserve"> embeds two true sentences within a frame of sentences that are either false or misleading,</w:t>
      </w:r>
      <w:r>
        <w:rPr>
          <w:rFonts w:ascii="Times New Roman" w:eastAsia="Calibri" w:hAnsi="Times New Roman" w:cs="Times New Roman"/>
          <w:bCs/>
          <w:color w:val="333333"/>
          <w:sz w:val="24"/>
          <w:szCs w:val="24"/>
          <w:shd w:val="clear" w:color="auto" w:fill="FFFFFF"/>
        </w:rPr>
        <w:t xml:space="preserve"> finishing off with a </w:t>
      </w:r>
      <w:r w:rsidRPr="00F377CA">
        <w:rPr>
          <w:rFonts w:ascii="Times New Roman" w:eastAsia="Calibri" w:hAnsi="Times New Roman" w:cs="Times New Roman"/>
          <w:bCs/>
          <w:color w:val="333333"/>
          <w:sz w:val="24"/>
          <w:szCs w:val="24"/>
          <w:shd w:val="clear" w:color="auto" w:fill="FFFFFF"/>
        </w:rPr>
        <w:t xml:space="preserve">final true sentence.  </w:t>
      </w:r>
      <w:r>
        <w:rPr>
          <w:rFonts w:ascii="Times New Roman" w:eastAsia="Calibri" w:hAnsi="Times New Roman" w:cs="Times New Roman"/>
          <w:bCs/>
          <w:color w:val="333333"/>
          <w:sz w:val="24"/>
          <w:szCs w:val="24"/>
          <w:shd w:val="clear" w:color="auto" w:fill="FFFFFF"/>
        </w:rPr>
        <w:t>Its false f</w:t>
      </w:r>
      <w:r w:rsidRPr="00F377CA">
        <w:rPr>
          <w:rFonts w:ascii="Times New Roman" w:eastAsia="Calibri" w:hAnsi="Times New Roman" w:cs="Times New Roman"/>
          <w:bCs/>
          <w:color w:val="333333"/>
          <w:sz w:val="24"/>
          <w:szCs w:val="24"/>
          <w:shd w:val="clear" w:color="auto" w:fill="FFFFFF"/>
        </w:rPr>
        <w:t>irst sentence is:</w:t>
      </w:r>
    </w:p>
    <w:p w14:paraId="545CFAC8"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0E0DA446"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“This Committee has been empowered to take any action with respect to compensation that a statute could effectuate.”</w:t>
      </w:r>
    </w:p>
    <w:p w14:paraId="3C63CE32"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  </w:t>
      </w:r>
    </w:p>
    <w:p w14:paraId="5BEA39EA"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This is false</w:t>
      </w:r>
      <w:r>
        <w:rPr>
          <w:rFonts w:ascii="Times New Roman" w:eastAsia="Calibri" w:hAnsi="Times New Roman" w:cs="Times New Roman"/>
          <w:bCs/>
          <w:color w:val="333333"/>
          <w:sz w:val="24"/>
          <w:szCs w:val="24"/>
          <w:shd w:val="clear" w:color="auto" w:fill="FFFFFF"/>
        </w:rPr>
        <w:t xml:space="preserve"> – and making this evident is </w:t>
      </w:r>
      <w:r w:rsidRPr="00F377CA">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rPr>
        <w:t>.</w:t>
      </w:r>
      <w:r w:rsidRPr="00F377CA">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rPr>
        <w:t xml:space="preserve"> and </w:t>
      </w:r>
      <w:r w:rsidRPr="00F377CA">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4.</w:t>
      </w:r>
      <w:r w:rsidRPr="00F377CA">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rPr>
        <w:t>, limiting t</w:t>
      </w:r>
      <w:r w:rsidRPr="00F377CA">
        <w:rPr>
          <w:rFonts w:ascii="Times New Roman" w:eastAsia="Calibri" w:hAnsi="Times New Roman" w:cs="Times New Roman"/>
          <w:bCs/>
          <w:color w:val="333333"/>
          <w:sz w:val="24"/>
          <w:szCs w:val="24"/>
          <w:shd w:val="clear" w:color="auto" w:fill="FFFFFF"/>
        </w:rPr>
        <w:t xml:space="preserve">he Committee’s power to change legislative compensation </w:t>
      </w:r>
      <w:r>
        <w:rPr>
          <w:rFonts w:ascii="Times New Roman" w:eastAsia="Calibri" w:hAnsi="Times New Roman" w:cs="Times New Roman"/>
          <w:bCs/>
          <w:color w:val="333333"/>
          <w:sz w:val="24"/>
          <w:szCs w:val="24"/>
          <w:shd w:val="clear" w:color="auto" w:fill="FFFFFF"/>
        </w:rPr>
        <w:t xml:space="preserve">to </w:t>
      </w:r>
      <w:r w:rsidRPr="00F377CA">
        <w:rPr>
          <w:rFonts w:ascii="Times New Roman" w:eastAsia="Calibri" w:hAnsi="Times New Roman" w:cs="Times New Roman"/>
          <w:bCs/>
          <w:color w:val="333333"/>
          <w:sz w:val="24"/>
          <w:szCs w:val="24"/>
          <w:shd w:val="clear" w:color="auto" w:fill="FFFFFF"/>
        </w:rPr>
        <w:t xml:space="preserve">“force of law” recommendations </w:t>
      </w:r>
      <w:r w:rsidRPr="00F377CA">
        <w:rPr>
          <w:rFonts w:ascii="Times New Roman" w:eastAsia="Calibri" w:hAnsi="Times New Roman" w:cs="Times New Roman"/>
          <w:bCs/>
          <w:color w:val="333333"/>
          <w:sz w:val="24"/>
          <w:szCs w:val="24"/>
          <w:u w:val="single"/>
          <w:shd w:val="clear" w:color="auto" w:fill="FFFFFF"/>
        </w:rPr>
        <w:t>increasing</w:t>
      </w:r>
      <w:r w:rsidRPr="00F377CA">
        <w:rPr>
          <w:rFonts w:ascii="Times New Roman" w:eastAsia="Calibri" w:hAnsi="Times New Roman" w:cs="Times New Roman"/>
          <w:bCs/>
          <w:color w:val="333333"/>
          <w:sz w:val="24"/>
          <w:szCs w:val="24"/>
          <w:shd w:val="clear" w:color="auto" w:fill="FFFFFF"/>
        </w:rPr>
        <w:t xml:space="preserve"> salaries and increasing stipends.  </w:t>
      </w:r>
    </w:p>
    <w:p w14:paraId="43BCB979"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A242D46"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roofErr w:type="gramStart"/>
      <w:r>
        <w:rPr>
          <w:rFonts w:ascii="Times New Roman" w:eastAsia="Calibri" w:hAnsi="Times New Roman" w:cs="Times New Roman"/>
          <w:bCs/>
          <w:color w:val="333333"/>
          <w:sz w:val="24"/>
          <w:szCs w:val="24"/>
          <w:shd w:val="clear" w:color="auto" w:fill="FFFFFF"/>
        </w:rPr>
        <w:t>Also</w:t>
      </w:r>
      <w:proofErr w:type="gramEnd"/>
      <w:r>
        <w:rPr>
          <w:rFonts w:ascii="Times New Roman" w:eastAsia="Calibri" w:hAnsi="Times New Roman" w:cs="Times New Roman"/>
          <w:bCs/>
          <w:color w:val="333333"/>
          <w:sz w:val="24"/>
          <w:szCs w:val="24"/>
          <w:shd w:val="clear" w:color="auto" w:fill="FFFFFF"/>
        </w:rPr>
        <w:t xml:space="preserve"> false, the next </w:t>
      </w:r>
      <w:r w:rsidRPr="00F377CA">
        <w:rPr>
          <w:rFonts w:ascii="Times New Roman" w:eastAsia="Calibri" w:hAnsi="Times New Roman" w:cs="Times New Roman"/>
          <w:bCs/>
          <w:color w:val="333333"/>
          <w:sz w:val="24"/>
          <w:szCs w:val="24"/>
          <w:shd w:val="clear" w:color="auto" w:fill="FFFFFF"/>
        </w:rPr>
        <w:t>sentence</w:t>
      </w:r>
      <w:r>
        <w:rPr>
          <w:rFonts w:ascii="Times New Roman" w:eastAsia="Calibri" w:hAnsi="Times New Roman" w:cs="Times New Roman"/>
          <w:bCs/>
          <w:color w:val="333333"/>
          <w:sz w:val="24"/>
          <w:szCs w:val="24"/>
          <w:shd w:val="clear" w:color="auto" w:fill="FFFFFF"/>
        </w:rPr>
        <w:t>, reading</w:t>
      </w:r>
      <w:r w:rsidRPr="00F377CA">
        <w:rPr>
          <w:rFonts w:ascii="Times New Roman" w:eastAsia="Calibri" w:hAnsi="Times New Roman" w:cs="Times New Roman"/>
          <w:bCs/>
          <w:color w:val="333333"/>
          <w:sz w:val="24"/>
          <w:szCs w:val="24"/>
          <w:shd w:val="clear" w:color="auto" w:fill="FFFFFF"/>
        </w:rPr>
        <w:t>:</w:t>
      </w:r>
    </w:p>
    <w:p w14:paraId="18E9B9DD"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598C082F"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“The enabling legislation charges the Committee not only with the authority to examine and make recommendations with respect to salary levels, but also with respect to non-salary benefits and allowances.”</w:t>
      </w:r>
    </w:p>
    <w:p w14:paraId="6C22D60D"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0F7AAEE8"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r>
        <w:rPr>
          <w:rFonts w:ascii="Times New Roman" w:eastAsia="Calibri" w:hAnsi="Times New Roman" w:cs="Times New Roman"/>
          <w:bCs/>
          <w:color w:val="333333"/>
          <w:sz w:val="24"/>
          <w:szCs w:val="24"/>
          <w:shd w:val="clear" w:color="auto" w:fill="FFFFFF"/>
        </w:rPr>
        <w:t>In fact, t</w:t>
      </w:r>
      <w:r w:rsidRPr="00F377CA">
        <w:rPr>
          <w:rFonts w:ascii="Times New Roman" w:eastAsia="Calibri" w:hAnsi="Times New Roman" w:cs="Times New Roman"/>
          <w:bCs/>
          <w:color w:val="333333"/>
          <w:sz w:val="24"/>
          <w:szCs w:val="24"/>
          <w:shd w:val="clear" w:color="auto" w:fill="FFFFFF"/>
        </w:rPr>
        <w:t>he Committee</w:t>
      </w:r>
      <w:r>
        <w:rPr>
          <w:rFonts w:ascii="Times New Roman" w:eastAsia="Calibri" w:hAnsi="Times New Roman" w:cs="Times New Roman"/>
          <w:bCs/>
          <w:color w:val="333333"/>
          <w:sz w:val="24"/>
          <w:szCs w:val="24"/>
          <w:shd w:val="clear" w:color="auto" w:fill="FFFFFF"/>
        </w:rPr>
        <w:t xml:space="preserve"> has not been granted open-ended</w:t>
      </w:r>
      <w:r w:rsidRPr="00F377CA">
        <w:rPr>
          <w:rFonts w:ascii="Times New Roman" w:eastAsia="Calibri" w:hAnsi="Times New Roman" w:cs="Times New Roman"/>
          <w:bCs/>
          <w:color w:val="333333"/>
          <w:sz w:val="24"/>
          <w:szCs w:val="24"/>
          <w:shd w:val="clear" w:color="auto" w:fill="FFFFFF"/>
        </w:rPr>
        <w:t xml:space="preserve"> authority to examine and make recommendations “with respect to salary levels” and “with respect to non-salary benefits and allowances”.  Rather – as </w:t>
      </w:r>
      <w:r w:rsidRPr="00F377CA">
        <w:rPr>
          <w:rFonts w:ascii="Times New Roman" w:eastAsia="Times New Roman" w:hAnsi="Times New Roman" w:cs="Times New Roman"/>
          <w:snapToGrid w:val="0"/>
          <w:sz w:val="24"/>
          <w:szCs w:val="24"/>
        </w:rPr>
        <w:t>§1 and §2</w:t>
      </w:r>
      <w:r>
        <w:rPr>
          <w:rFonts w:ascii="Times New Roman" w:eastAsia="Times New Roman" w:hAnsi="Times New Roman" w:cs="Times New Roman"/>
          <w:snapToGrid w:val="0"/>
          <w:sz w:val="24"/>
          <w:szCs w:val="24"/>
        </w:rPr>
        <w:t>.</w:t>
      </w:r>
      <w:r w:rsidRPr="00F377CA">
        <w:rPr>
          <w:rFonts w:ascii="Times New Roman" w:eastAsia="Times New Roman" w:hAnsi="Times New Roman" w:cs="Times New Roman"/>
          <w:snapToGrid w:val="0"/>
          <w:sz w:val="24"/>
          <w:szCs w:val="24"/>
        </w:rPr>
        <w:t xml:space="preserve">1 </w:t>
      </w:r>
      <w:r>
        <w:rPr>
          <w:rFonts w:ascii="Times New Roman" w:eastAsia="Times New Roman" w:hAnsi="Times New Roman" w:cs="Times New Roman"/>
          <w:snapToGrid w:val="0"/>
          <w:sz w:val="24"/>
          <w:szCs w:val="24"/>
        </w:rPr>
        <w:t xml:space="preserve">make plain </w:t>
      </w:r>
      <w:r w:rsidRPr="00F377CA">
        <w:rPr>
          <w:rFonts w:ascii="Times New Roman" w:eastAsia="Times New Roman" w:hAnsi="Times New Roman" w:cs="Times New Roman"/>
          <w:snapToGrid w:val="0"/>
          <w:sz w:val="24"/>
          <w:szCs w:val="24"/>
        </w:rPr>
        <w:t xml:space="preserve">–  the examination and recommendations that the Committee </w:t>
      </w:r>
      <w:r>
        <w:rPr>
          <w:rFonts w:ascii="Times New Roman" w:eastAsia="Times New Roman" w:hAnsi="Times New Roman" w:cs="Times New Roman"/>
          <w:snapToGrid w:val="0"/>
          <w:sz w:val="24"/>
          <w:szCs w:val="24"/>
        </w:rPr>
        <w:t>was</w:t>
      </w:r>
      <w:r w:rsidRPr="00F377CA">
        <w:rPr>
          <w:rFonts w:ascii="Times New Roman" w:eastAsia="Times New Roman" w:hAnsi="Times New Roman" w:cs="Times New Roman"/>
          <w:snapToGrid w:val="0"/>
          <w:sz w:val="24"/>
          <w:szCs w:val="24"/>
        </w:rPr>
        <w:t xml:space="preserve"> authorized to make </w:t>
      </w:r>
      <w:r>
        <w:rPr>
          <w:rFonts w:ascii="Times New Roman" w:eastAsia="Times New Roman" w:hAnsi="Times New Roman" w:cs="Times New Roman"/>
          <w:snapToGrid w:val="0"/>
          <w:sz w:val="24"/>
          <w:szCs w:val="24"/>
        </w:rPr>
        <w:t>were</w:t>
      </w:r>
      <w:r w:rsidRPr="00F377CA">
        <w:rPr>
          <w:rFonts w:ascii="Times New Roman" w:eastAsia="Times New Roman" w:hAnsi="Times New Roman" w:cs="Times New Roman"/>
          <w:snapToGrid w:val="0"/>
          <w:sz w:val="24"/>
          <w:szCs w:val="24"/>
        </w:rPr>
        <w:t xml:space="preserve"> as to “adequate levels” and the “adequacy” of “levels” of pay, allowances, and other non-salary benefits. </w:t>
      </w:r>
    </w:p>
    <w:p w14:paraId="7094A942"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22E44E9"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Next come two true sentences – annotated by statute references:</w:t>
      </w:r>
    </w:p>
    <w:p w14:paraId="141662E8"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9DD23F7"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“Specifically, the Legislature has delegated to the Commission the authority to ‘examine, evaluate, and made (sic) recommendations’ with respect to the prevailing adequacy of pay levels, ‘allowances pursuant to section 5-a of the legislative law, and other non-salary benefits’ for the Legislature. Part HHH, Sec. 1.  Stipends are ‘allowances pursuant to section 5-a of the legislative law.’”</w:t>
      </w:r>
    </w:p>
    <w:p w14:paraId="73B991B8"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1183BA0" w14:textId="77777777" w:rsidR="00451158"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 xml:space="preserve">A next sentence then reads:  </w:t>
      </w:r>
    </w:p>
    <w:p w14:paraId="09B445AA"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63E14ABF"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“Because the Legislature has authorized the Commission to examine stipends, they have given the Commission the authority to analyze and review their use in the context of a compensation package.”</w:t>
      </w:r>
    </w:p>
    <w:p w14:paraId="54FD5FDF"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753C9BA"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r w:rsidRPr="00F377CA">
        <w:rPr>
          <w:rFonts w:ascii="Times New Roman" w:eastAsia="Calibri" w:hAnsi="Times New Roman" w:cs="Times New Roman"/>
          <w:bCs/>
          <w:color w:val="333333"/>
          <w:sz w:val="24"/>
          <w:szCs w:val="24"/>
          <w:shd w:val="clear" w:color="auto" w:fill="FFFFFF"/>
        </w:rPr>
        <w:t xml:space="preserve">This is false. As hereinabove stated,  </w:t>
      </w:r>
      <w:r w:rsidRPr="00F377CA">
        <w:rPr>
          <w:rFonts w:ascii="Times New Roman" w:eastAsia="Times New Roman" w:hAnsi="Times New Roman" w:cs="Times New Roman"/>
          <w:snapToGrid w:val="0"/>
          <w:sz w:val="24"/>
          <w:szCs w:val="24"/>
        </w:rPr>
        <w:t>§1 and §2</w:t>
      </w:r>
      <w:r>
        <w:rPr>
          <w:rFonts w:ascii="Times New Roman" w:eastAsia="Times New Roman" w:hAnsi="Times New Roman" w:cs="Times New Roman"/>
          <w:snapToGrid w:val="0"/>
          <w:sz w:val="24"/>
          <w:szCs w:val="24"/>
        </w:rPr>
        <w:t>.</w:t>
      </w:r>
      <w:r w:rsidRPr="00F377CA">
        <w:rPr>
          <w:rFonts w:ascii="Times New Roman" w:eastAsia="Times New Roman" w:hAnsi="Times New Roman" w:cs="Times New Roman"/>
          <w:snapToGrid w:val="0"/>
          <w:sz w:val="24"/>
          <w:szCs w:val="24"/>
        </w:rPr>
        <w:t xml:space="preserve">1 do not authorize open-ended examination of </w:t>
      </w:r>
      <w:proofErr w:type="gramStart"/>
      <w:r w:rsidRPr="00F377CA">
        <w:rPr>
          <w:rFonts w:ascii="Times New Roman" w:eastAsia="Times New Roman" w:hAnsi="Times New Roman" w:cs="Times New Roman"/>
          <w:snapToGrid w:val="0"/>
          <w:sz w:val="24"/>
          <w:szCs w:val="24"/>
        </w:rPr>
        <w:t>compensation, but</w:t>
      </w:r>
      <w:proofErr w:type="gramEnd"/>
      <w:r w:rsidRPr="00F377CA">
        <w:rPr>
          <w:rFonts w:ascii="Times New Roman" w:eastAsia="Times New Roman" w:hAnsi="Times New Roman" w:cs="Times New Roman"/>
          <w:snapToGrid w:val="0"/>
          <w:sz w:val="24"/>
          <w:szCs w:val="24"/>
        </w:rPr>
        <w:t xml:space="preserve"> are limited to “adequate levels” and “adequacy” as to “levels” of pay, allowances, and non-salary benefits. </w:t>
      </w:r>
    </w:p>
    <w:p w14:paraId="046EA4A3"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p>
    <w:p w14:paraId="23AEC04E"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r w:rsidRPr="00F377CA">
        <w:rPr>
          <w:rFonts w:ascii="Times New Roman" w:eastAsia="Times New Roman" w:hAnsi="Times New Roman" w:cs="Times New Roman"/>
          <w:snapToGrid w:val="0"/>
          <w:sz w:val="24"/>
          <w:szCs w:val="24"/>
        </w:rPr>
        <w:t>Then follows a true sentence:</w:t>
      </w:r>
    </w:p>
    <w:p w14:paraId="021447EE"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p>
    <w:p w14:paraId="5F1835E6" w14:textId="77777777" w:rsidR="00451158" w:rsidRPr="00F377CA" w:rsidRDefault="00451158" w:rsidP="00451158">
      <w:pPr>
        <w:spacing w:after="0" w:line="240" w:lineRule="auto"/>
        <w:ind w:left="1152" w:right="1152"/>
        <w:jc w:val="both"/>
        <w:rPr>
          <w:rFonts w:ascii="Times New Roman" w:eastAsia="Times New Roman" w:hAnsi="Times New Roman" w:cs="Times New Roman"/>
          <w:snapToGrid w:val="0"/>
          <w:sz w:val="24"/>
          <w:szCs w:val="24"/>
        </w:rPr>
      </w:pPr>
      <w:r w:rsidRPr="00F377CA">
        <w:rPr>
          <w:rFonts w:ascii="Times New Roman" w:eastAsia="Times New Roman" w:hAnsi="Times New Roman" w:cs="Times New Roman"/>
          <w:snapToGrid w:val="0"/>
          <w:sz w:val="24"/>
          <w:szCs w:val="24"/>
        </w:rPr>
        <w:t>“Indeed, the criteria and factors to be considered in the statute apply equally to ‘allowances’ as to ‘levels of compensation’”.</w:t>
      </w:r>
    </w:p>
    <w:p w14:paraId="3ED89A7D"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p>
    <w:p w14:paraId="16AB8767"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r w:rsidRPr="00F377CA">
        <w:rPr>
          <w:rFonts w:ascii="Times New Roman" w:eastAsia="Times New Roman" w:hAnsi="Times New Roman" w:cs="Times New Roman"/>
          <w:snapToGrid w:val="0"/>
          <w:sz w:val="24"/>
          <w:szCs w:val="24"/>
        </w:rPr>
        <w:t>The next</w:t>
      </w:r>
      <w:r>
        <w:rPr>
          <w:rFonts w:ascii="Times New Roman" w:eastAsia="Times New Roman" w:hAnsi="Times New Roman" w:cs="Times New Roman"/>
          <w:snapToGrid w:val="0"/>
          <w:sz w:val="24"/>
          <w:szCs w:val="24"/>
        </w:rPr>
        <w:t>, penultimate</w:t>
      </w:r>
      <w:r w:rsidRPr="00F377CA">
        <w:rPr>
          <w:rFonts w:ascii="Times New Roman" w:eastAsia="Times New Roman" w:hAnsi="Times New Roman" w:cs="Times New Roman"/>
          <w:snapToGrid w:val="0"/>
          <w:sz w:val="24"/>
          <w:szCs w:val="24"/>
        </w:rPr>
        <w:t xml:space="preserve"> paragraph then reads, in full:</w:t>
      </w:r>
    </w:p>
    <w:p w14:paraId="4D7633AA"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p>
    <w:p w14:paraId="4AA8D1E8" w14:textId="77777777" w:rsidR="00451158" w:rsidRPr="00F377CA" w:rsidRDefault="00451158" w:rsidP="00451158">
      <w:pPr>
        <w:spacing w:after="0" w:line="240" w:lineRule="auto"/>
        <w:ind w:left="1152" w:right="1152"/>
        <w:jc w:val="both"/>
        <w:rPr>
          <w:rFonts w:ascii="Times New Roman" w:eastAsia="Times New Roman" w:hAnsi="Times New Roman" w:cs="Times New Roman"/>
          <w:snapToGrid w:val="0"/>
          <w:sz w:val="24"/>
          <w:szCs w:val="24"/>
        </w:rPr>
      </w:pPr>
      <w:r w:rsidRPr="00F377CA">
        <w:rPr>
          <w:rFonts w:ascii="Times New Roman" w:eastAsia="Times New Roman" w:hAnsi="Times New Roman" w:cs="Times New Roman"/>
          <w:snapToGrid w:val="0"/>
          <w:sz w:val="24"/>
          <w:szCs w:val="24"/>
        </w:rPr>
        <w:t>“The Committee is authorized to determine whether ‘compensation’ warrants an increase.  In determining that an over-arching increase is warranted, this Committee may limit the stipends to achieve their true purpose, to supplement the income for those whose positions within the body require significantly more work than that of a Legislature who is serving as a Chair or a Ranking Member in the ordinary sense.”</w:t>
      </w:r>
    </w:p>
    <w:p w14:paraId="49898041"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B0A28B0"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r w:rsidRPr="00F377CA">
        <w:rPr>
          <w:rFonts w:ascii="Times New Roman" w:eastAsia="Calibri" w:hAnsi="Times New Roman" w:cs="Times New Roman"/>
          <w:bCs/>
          <w:color w:val="333333"/>
          <w:sz w:val="24"/>
          <w:szCs w:val="24"/>
          <w:shd w:val="clear" w:color="auto" w:fill="FFFFFF"/>
        </w:rPr>
        <w:t xml:space="preserve">Again, this is false by its over-reach.  </w:t>
      </w:r>
      <w:r w:rsidRPr="00F377CA">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rPr>
        <w:t>.</w:t>
      </w:r>
      <w:r w:rsidRPr="00F377CA">
        <w:rPr>
          <w:rFonts w:ascii="Times New Roman" w:eastAsia="Times New Roman" w:hAnsi="Times New Roman" w:cs="Times New Roman"/>
          <w:snapToGrid w:val="0"/>
          <w:sz w:val="24"/>
          <w:szCs w:val="24"/>
        </w:rPr>
        <w:t xml:space="preserve">2 explicitly states what the Committee is to “determine”, </w:t>
      </w:r>
      <w:r>
        <w:rPr>
          <w:rFonts w:ascii="Times New Roman" w:eastAsia="Times New Roman" w:hAnsi="Times New Roman" w:cs="Times New Roman"/>
          <w:snapToGrid w:val="0"/>
          <w:sz w:val="24"/>
          <w:szCs w:val="24"/>
        </w:rPr>
        <w:t>which is “</w:t>
      </w:r>
      <w:r w:rsidRPr="00F377CA">
        <w:rPr>
          <w:rFonts w:ascii="Times New Roman" w:eastAsia="Times New Roman" w:hAnsi="Times New Roman" w:cs="Times New Roman"/>
          <w:snapToGrid w:val="0"/>
          <w:sz w:val="24"/>
          <w:szCs w:val="24"/>
        </w:rPr>
        <w:t>whether, on January 1, 2019, the annual salary and allowances of members of the legislature, statewide elected officials, and salaries of state officers referred to in section 169 of the executive law, warrant an increase.”</w:t>
      </w:r>
    </w:p>
    <w:p w14:paraId="0FC7B112" w14:textId="77777777" w:rsidR="00451158" w:rsidRPr="00F377CA" w:rsidRDefault="00451158" w:rsidP="00451158">
      <w:pPr>
        <w:spacing w:after="0" w:line="240" w:lineRule="auto"/>
        <w:jc w:val="both"/>
        <w:rPr>
          <w:rFonts w:ascii="Times New Roman" w:eastAsia="Times New Roman" w:hAnsi="Times New Roman" w:cs="Times New Roman"/>
          <w:snapToGrid w:val="0"/>
          <w:sz w:val="24"/>
          <w:szCs w:val="24"/>
        </w:rPr>
      </w:pPr>
    </w:p>
    <w:p w14:paraId="7AE0BDCD"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It is as follow-up to the final sentence of its penultimate paragraph that </w:t>
      </w:r>
      <w:r w:rsidRPr="009E4BA4">
        <w:rPr>
          <w:rFonts w:ascii="Times New Roman" w:eastAsia="Calibri" w:hAnsi="Times New Roman" w:cs="Times New Roman"/>
          <w:bCs/>
          <w:color w:val="333333"/>
          <w:sz w:val="24"/>
          <w:szCs w:val="24"/>
          <w:shd w:val="clear" w:color="auto" w:fill="FFFFFF"/>
        </w:rPr>
        <w:t>the “true purpose” of stipends is “to supplement the income of those whose positions within the body require significantly more work than that of a Legislator who is serving as a Chair or a Ranking Member in the ordinary sense”</w:t>
      </w:r>
      <w:r w:rsidRPr="00F377CA">
        <w:rPr>
          <w:rFonts w:ascii="Times New Roman" w:eastAsia="Calibri" w:hAnsi="Times New Roman" w:cs="Times New Roman"/>
          <w:bCs/>
          <w:color w:val="333333"/>
          <w:sz w:val="24"/>
          <w:szCs w:val="24"/>
          <w:shd w:val="clear" w:color="auto" w:fill="FFFFFF"/>
        </w:rPr>
        <w:t xml:space="preserve"> – th</w:t>
      </w:r>
      <w:r>
        <w:rPr>
          <w:rFonts w:ascii="Times New Roman" w:eastAsia="Calibri" w:hAnsi="Times New Roman" w:cs="Times New Roman"/>
          <w:bCs/>
          <w:color w:val="333333"/>
          <w:sz w:val="24"/>
          <w:szCs w:val="24"/>
          <w:shd w:val="clear" w:color="auto" w:fill="FFFFFF"/>
        </w:rPr>
        <w:t xml:space="preserve">at the last paragraph of the section then </w:t>
      </w:r>
      <w:r w:rsidRPr="00F377CA">
        <w:rPr>
          <w:rFonts w:ascii="Times New Roman" w:eastAsia="Calibri" w:hAnsi="Times New Roman" w:cs="Times New Roman"/>
          <w:bCs/>
          <w:color w:val="333333"/>
          <w:sz w:val="24"/>
          <w:szCs w:val="24"/>
          <w:shd w:val="clear" w:color="auto" w:fill="FFFFFF"/>
        </w:rPr>
        <w:t xml:space="preserve">specifies: </w:t>
      </w:r>
    </w:p>
    <w:p w14:paraId="1ADE5F81"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60029F6B" w14:textId="77777777" w:rsidR="00451158" w:rsidRPr="00F377CA" w:rsidRDefault="00451158" w:rsidP="00451158">
      <w:pPr>
        <w:spacing w:after="0" w:line="240" w:lineRule="auto"/>
        <w:ind w:left="1152" w:right="1152"/>
        <w:jc w:val="both"/>
        <w:rPr>
          <w:rFonts w:ascii="Times New Roman" w:eastAsia="Calibri" w:hAnsi="Times New Roman" w:cs="Times New Roman"/>
          <w:bCs/>
          <w:color w:val="333333"/>
          <w:sz w:val="24"/>
          <w:szCs w:val="24"/>
          <w:shd w:val="clear" w:color="auto" w:fill="FFFFFF"/>
        </w:rPr>
      </w:pPr>
      <w:r w:rsidRPr="009E4BA4">
        <w:rPr>
          <w:rFonts w:ascii="Times New Roman" w:eastAsia="Calibri" w:hAnsi="Times New Roman" w:cs="Times New Roman"/>
          <w:bCs/>
          <w:color w:val="333333"/>
          <w:sz w:val="24"/>
          <w:szCs w:val="24"/>
          <w:shd w:val="clear" w:color="auto" w:fill="FFFFFF"/>
        </w:rPr>
        <w:t>“</w:t>
      </w:r>
      <w:r w:rsidRPr="00F377CA">
        <w:rPr>
          <w:rFonts w:ascii="Times New Roman" w:eastAsia="Calibri" w:hAnsi="Times New Roman" w:cs="Times New Roman"/>
          <w:bCs/>
          <w:color w:val="333333"/>
          <w:sz w:val="24"/>
          <w:szCs w:val="24"/>
          <w:shd w:val="clear" w:color="auto" w:fill="FFFFFF"/>
        </w:rPr>
        <w:t xml:space="preserve">These positions are:  </w:t>
      </w:r>
      <w:r w:rsidRPr="009E4BA4">
        <w:rPr>
          <w:rFonts w:ascii="Times New Roman" w:eastAsia="Calibri" w:hAnsi="Times New Roman" w:cs="Times New Roman"/>
          <w:bCs/>
          <w:color w:val="333333"/>
          <w:sz w:val="24"/>
          <w:szCs w:val="24"/>
          <w:shd w:val="clear" w:color="auto" w:fill="FFFFFF"/>
        </w:rPr>
        <w:t>Speaker, Temporary President, the Deputy Leaders in both houses, and the Minority Leaders in Both Houses as well as their respective Deputy Leaders.  Additionally, the chair of the Ways and Means Committee and the Senate Finance Chair both have significant additional duties with respect to appointments, consideration of a large volume of legislation, and conducting legislative hearings on the Budget, with the Ranking Members of the fiscal committees in both houses carrying additional duties as well.  For similar reasons, in the Assembly, the Speaker Pro Tempore of the Assembly, the Chair of the Codes Committee, and the Ranking Member of the Codes Committee will receive stipends.  Significantly, the recommended increase to the base salary will offset the elimination of the stipends and the Legislator will see an increase.”</w:t>
      </w:r>
    </w:p>
    <w:p w14:paraId="5FAAB79E"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35309E2"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sidRPr="00F377CA">
        <w:rPr>
          <w:rFonts w:ascii="Times New Roman" w:eastAsia="Calibri" w:hAnsi="Times New Roman" w:cs="Times New Roman"/>
          <w:bCs/>
          <w:color w:val="333333"/>
          <w:sz w:val="24"/>
          <w:szCs w:val="24"/>
          <w:shd w:val="clear" w:color="auto" w:fill="FFFFFF"/>
        </w:rPr>
        <w:t>Yet, t</w:t>
      </w:r>
      <w:r w:rsidRPr="009E4BA4">
        <w:rPr>
          <w:rFonts w:ascii="Times New Roman" w:eastAsia="Calibri" w:hAnsi="Times New Roman" w:cs="Times New Roman"/>
          <w:bCs/>
          <w:color w:val="333333"/>
          <w:sz w:val="24"/>
          <w:szCs w:val="24"/>
          <w:shd w:val="clear" w:color="auto" w:fill="FFFFFF"/>
        </w:rPr>
        <w:t xml:space="preserve">here is no finding that those in the referred-to positions are </w:t>
      </w:r>
      <w:r w:rsidRPr="00F377CA">
        <w:rPr>
          <w:rFonts w:ascii="Times New Roman" w:eastAsia="Calibri" w:hAnsi="Times New Roman" w:cs="Times New Roman"/>
          <w:bCs/>
          <w:color w:val="333333"/>
          <w:sz w:val="24"/>
          <w:szCs w:val="24"/>
          <w:shd w:val="clear" w:color="auto" w:fill="FFFFFF"/>
        </w:rPr>
        <w:t xml:space="preserve">performing </w:t>
      </w:r>
      <w:r w:rsidRPr="009E4BA4">
        <w:rPr>
          <w:rFonts w:ascii="Times New Roman" w:eastAsia="Calibri" w:hAnsi="Times New Roman" w:cs="Times New Roman"/>
          <w:bCs/>
          <w:color w:val="333333"/>
          <w:sz w:val="24"/>
          <w:szCs w:val="24"/>
          <w:shd w:val="clear" w:color="auto" w:fill="FFFFFF"/>
        </w:rPr>
        <w:t xml:space="preserve">their “significantly more work” duties in any kind of responsible, constitutional fashion.  That they are not – and to a degree that would warrant their criminal prosecution and removal from office, involving, as it does “grand larceny of the public </w:t>
      </w:r>
      <w:proofErr w:type="spellStart"/>
      <w:r w:rsidRPr="009E4BA4">
        <w:rPr>
          <w:rFonts w:ascii="Times New Roman" w:eastAsia="Calibri" w:hAnsi="Times New Roman" w:cs="Times New Roman"/>
          <w:bCs/>
          <w:color w:val="333333"/>
          <w:sz w:val="24"/>
          <w:szCs w:val="24"/>
          <w:shd w:val="clear" w:color="auto" w:fill="FFFFFF"/>
        </w:rPr>
        <w:t>fisc</w:t>
      </w:r>
      <w:proofErr w:type="spellEnd"/>
      <w:r w:rsidRPr="009E4BA4">
        <w:rPr>
          <w:rFonts w:ascii="Times New Roman" w:eastAsia="Calibri" w:hAnsi="Times New Roman" w:cs="Times New Roman"/>
          <w:bCs/>
          <w:color w:val="333333"/>
          <w:sz w:val="24"/>
          <w:szCs w:val="24"/>
          <w:shd w:val="clear" w:color="auto" w:fill="FFFFFF"/>
        </w:rPr>
        <w:t xml:space="preserve">” and other corruption – is demonstrated, resoundingly, by the second citizen-taxpayer action and, specifically, with respect to the Temporary Senate President, Assembly Speaker, Senate Minority Leader, Assembly Minority Leader, their top Senate and </w:t>
      </w:r>
      <w:r w:rsidRPr="009E4BA4">
        <w:rPr>
          <w:rFonts w:ascii="Times New Roman" w:eastAsia="Calibri" w:hAnsi="Times New Roman" w:cs="Times New Roman"/>
          <w:bCs/>
          <w:color w:val="333333"/>
          <w:sz w:val="24"/>
          <w:szCs w:val="24"/>
          <w:shd w:val="clear" w:color="auto" w:fill="FFFFFF"/>
        </w:rPr>
        <w:lastRenderedPageBreak/>
        <w:t>Assembly leaders, and, specifically, the chairs and ranking members of the Senate Finance Committee and Assembly Ways and Means Committee.</w:t>
      </w:r>
    </w:p>
    <w:p w14:paraId="13AEE2A5"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3739889E"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Suffice to note that no explanation is furnished  as to why, apart from the chair and ranking member of the Legislature’s fiscal committees, only </w:t>
      </w:r>
      <w:r w:rsidRPr="009E4BA4">
        <w:rPr>
          <w:rFonts w:ascii="Times New Roman" w:eastAsia="Calibri" w:hAnsi="Times New Roman" w:cs="Times New Roman"/>
          <w:bCs/>
          <w:color w:val="333333"/>
          <w:sz w:val="24"/>
          <w:szCs w:val="24"/>
          <w:shd w:val="clear" w:color="auto" w:fill="FFFFFF"/>
        </w:rPr>
        <w:t xml:space="preserve">the chair and ranking member of the Assembly Codes Committee </w:t>
      </w:r>
      <w:r>
        <w:rPr>
          <w:rFonts w:ascii="Times New Roman" w:eastAsia="Calibri" w:hAnsi="Times New Roman" w:cs="Times New Roman"/>
          <w:bCs/>
          <w:color w:val="333333"/>
          <w:sz w:val="24"/>
          <w:szCs w:val="24"/>
          <w:shd w:val="clear" w:color="auto" w:fill="FFFFFF"/>
        </w:rPr>
        <w:t xml:space="preserve">are included among those whose stipends should be continued.  </w:t>
      </w:r>
      <w:r w:rsidRPr="009E4BA4">
        <w:rPr>
          <w:rFonts w:ascii="Times New Roman" w:eastAsia="Calibri" w:hAnsi="Times New Roman" w:cs="Times New Roman"/>
          <w:bCs/>
          <w:color w:val="333333"/>
          <w:sz w:val="24"/>
          <w:szCs w:val="24"/>
          <w:shd w:val="clear" w:color="auto" w:fill="FFFFFF"/>
        </w:rPr>
        <w:t>There would be no basis to so distinguish the Codes Committee, except if it had a unique role</w:t>
      </w:r>
      <w:r>
        <w:rPr>
          <w:rFonts w:ascii="Times New Roman" w:eastAsia="Calibri" w:hAnsi="Times New Roman" w:cs="Times New Roman"/>
          <w:bCs/>
          <w:color w:val="333333"/>
          <w:sz w:val="24"/>
          <w:szCs w:val="24"/>
          <w:shd w:val="clear" w:color="auto" w:fill="FFFFFF"/>
        </w:rPr>
        <w:t xml:space="preserve">.  However, </w:t>
      </w:r>
      <w:r w:rsidRPr="009E4BA4">
        <w:rPr>
          <w:rFonts w:ascii="Times New Roman" w:eastAsia="Calibri" w:hAnsi="Times New Roman" w:cs="Times New Roman"/>
          <w:bCs/>
          <w:color w:val="333333"/>
          <w:sz w:val="24"/>
          <w:szCs w:val="24"/>
          <w:shd w:val="clear" w:color="auto" w:fill="FFFFFF"/>
        </w:rPr>
        <w:t>the Compensation Committee does not identify what that is.</w:t>
      </w:r>
    </w:p>
    <w:p w14:paraId="353AE37A"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2F357D23" w14:textId="77777777" w:rsidR="00451158" w:rsidRPr="00F377CA"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r>
        <w:rPr>
          <w:rFonts w:ascii="Times New Roman" w:eastAsia="Calibri" w:hAnsi="Times New Roman" w:cs="Times New Roman"/>
          <w:bCs/>
          <w:color w:val="333333"/>
          <w:sz w:val="24"/>
          <w:szCs w:val="24"/>
          <w:shd w:val="clear" w:color="auto" w:fill="FFFFFF"/>
        </w:rPr>
        <w:t xml:space="preserve">A clue is provided, however, by Article III, </w:t>
      </w:r>
      <w:r w:rsidRPr="00F377CA">
        <w:rPr>
          <w:rFonts w:ascii="Times New Roman" w:eastAsia="Times New Roman" w:hAnsi="Times New Roman" w:cs="Times New Roman"/>
          <w:snapToGrid w:val="0"/>
          <w:sz w:val="24"/>
          <w:szCs w:val="24"/>
        </w:rPr>
        <w:t>§</w:t>
      </w:r>
      <w:r>
        <w:rPr>
          <w:rFonts w:ascii="Times New Roman" w:eastAsia="Calibri" w:hAnsi="Times New Roman" w:cs="Times New Roman"/>
          <w:bCs/>
          <w:color w:val="333333"/>
          <w:sz w:val="24"/>
          <w:szCs w:val="24"/>
          <w:shd w:val="clear" w:color="auto" w:fill="FFFFFF"/>
        </w:rPr>
        <w:t>6 – which is only selectively quoted by the first paragraph of t</w:t>
      </w:r>
      <w:r w:rsidRPr="009E4BA4">
        <w:rPr>
          <w:rFonts w:ascii="Times New Roman" w:eastAsia="Calibri" w:hAnsi="Times New Roman" w:cs="Times New Roman"/>
          <w:bCs/>
          <w:color w:val="333333"/>
          <w:sz w:val="24"/>
          <w:szCs w:val="24"/>
          <w:shd w:val="clear" w:color="auto" w:fill="FFFFFF"/>
        </w:rPr>
        <w:t>he “Statement of Support”</w:t>
      </w:r>
      <w:r>
        <w:rPr>
          <w:rFonts w:ascii="Times New Roman" w:eastAsia="Calibri" w:hAnsi="Times New Roman" w:cs="Times New Roman"/>
          <w:bCs/>
          <w:color w:val="333333"/>
          <w:sz w:val="24"/>
          <w:szCs w:val="24"/>
          <w:shd w:val="clear" w:color="auto" w:fill="FFFFFF"/>
        </w:rPr>
        <w:t xml:space="preserve">.   In full, </w:t>
      </w:r>
      <w:r w:rsidRPr="009E4BA4">
        <w:rPr>
          <w:rFonts w:ascii="Times New Roman" w:eastAsia="Calibri" w:hAnsi="Times New Roman" w:cs="Times New Roman"/>
          <w:bCs/>
          <w:color w:val="333333"/>
          <w:sz w:val="24"/>
          <w:szCs w:val="24"/>
          <w:shd w:val="clear" w:color="auto" w:fill="FFFFFF"/>
        </w:rPr>
        <w:t xml:space="preserve">Article III, </w:t>
      </w:r>
      <w:r w:rsidRPr="00F377CA">
        <w:rPr>
          <w:rFonts w:ascii="Times New Roman" w:eastAsia="Times New Roman" w:hAnsi="Times New Roman" w:cs="Times New Roman"/>
          <w:snapToGrid w:val="0"/>
          <w:sz w:val="24"/>
          <w:szCs w:val="24"/>
        </w:rPr>
        <w:t>§</w:t>
      </w:r>
      <w:r w:rsidRPr="009E4BA4">
        <w:rPr>
          <w:rFonts w:ascii="Times New Roman" w:eastAsia="Calibri" w:hAnsi="Times New Roman" w:cs="Times New Roman"/>
          <w:bCs/>
          <w:color w:val="333333"/>
          <w:sz w:val="24"/>
          <w:szCs w:val="24"/>
          <w:shd w:val="clear" w:color="auto" w:fill="FFFFFF"/>
        </w:rPr>
        <w:t>6 reads:</w:t>
      </w:r>
    </w:p>
    <w:p w14:paraId="320E7BEF"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70B55FF4" w14:textId="77777777" w:rsidR="00451158" w:rsidRPr="00F377CA" w:rsidRDefault="00451158" w:rsidP="00451158">
      <w:pPr>
        <w:spacing w:after="0" w:line="240" w:lineRule="auto"/>
        <w:ind w:left="1152" w:right="1152"/>
        <w:jc w:val="both"/>
        <w:rPr>
          <w:rFonts w:ascii="Times New Roman" w:eastAsia="Times New Roman" w:hAnsi="Times New Roman" w:cs="Times New Roman"/>
          <w:snapToGrid w:val="0"/>
          <w:sz w:val="24"/>
          <w:szCs w:val="24"/>
        </w:rPr>
      </w:pPr>
      <w:r w:rsidRPr="009E4BA4">
        <w:rPr>
          <w:rFonts w:ascii="Times New Roman" w:eastAsia="Times New Roman" w:hAnsi="Times New Roman" w:cs="Times New Roman"/>
          <w:snapToGrid w:val="0"/>
          <w:sz w:val="24"/>
          <w:szCs w:val="24"/>
        </w:rPr>
        <w:t xml:space="preserve">“Each member of the legislature shall receive for his or her services a like annual salary, to be fixed by law. He or she shall also be reimbursed for his or her actual traveling expenses in going to and returning from the place in which the legislature meets, not more than once each week while the legislature is in session. Senators, when the senate alone is convened in extraordinary session, </w:t>
      </w:r>
      <w:r w:rsidRPr="009E4BA4">
        <w:rPr>
          <w:rFonts w:ascii="Times New Roman" w:eastAsia="Times New Roman" w:hAnsi="Times New Roman" w:cs="Times New Roman"/>
          <w:snapToGrid w:val="0"/>
          <w:sz w:val="24"/>
          <w:szCs w:val="24"/>
          <w:u w:val="single"/>
        </w:rPr>
        <w:t>or when serving as members of the court for the trial of impeachments</w:t>
      </w:r>
      <w:r w:rsidRPr="009E4BA4">
        <w:rPr>
          <w:rFonts w:ascii="Times New Roman" w:eastAsia="Times New Roman" w:hAnsi="Times New Roman" w:cs="Times New Roman"/>
          <w:snapToGrid w:val="0"/>
          <w:sz w:val="24"/>
          <w:szCs w:val="24"/>
        </w:rPr>
        <w:t xml:space="preserve">, and such members of the assembly, not exceeding nine in number, as shall be appointed managers of an impeachment, shall receive an additional per diem allowance, to be fixed by law. Any member, while serving as an officer of his or her house or in any other special capacity therein or directly connected therewith not hereinbefore in this section specified, may also be paid and receive, in addition, any allowance which may be fixed by law for the </w:t>
      </w:r>
      <w:proofErr w:type="gramStart"/>
      <w:r w:rsidRPr="009E4BA4">
        <w:rPr>
          <w:rFonts w:ascii="Times New Roman" w:eastAsia="Times New Roman" w:hAnsi="Times New Roman" w:cs="Times New Roman"/>
          <w:snapToGrid w:val="0"/>
          <w:sz w:val="24"/>
          <w:szCs w:val="24"/>
        </w:rPr>
        <w:t>particular and</w:t>
      </w:r>
      <w:proofErr w:type="gramEnd"/>
      <w:r w:rsidRPr="009E4BA4">
        <w:rPr>
          <w:rFonts w:ascii="Times New Roman" w:eastAsia="Times New Roman" w:hAnsi="Times New Roman" w:cs="Times New Roman"/>
          <w:snapToGrid w:val="0"/>
          <w:sz w:val="24"/>
          <w:szCs w:val="24"/>
        </w:rPr>
        <w:t xml:space="preserve"> additional services appertaining to or entailed by such office or special capacity. Neither the salary of any member nor any other allowance so fixed may be increased or diminished during, and with respect to, the term for which he or she shall have been elected, nor shall he or she be paid or receive any other extra compensation.  The provisions of this section and laws enacted in compliance therewith shall govern and be exclusively controlling, according to their terms. Members shall continue to receive such salary and additional allowance as heretofore fixed and provided in this section, until changed by law pursuant to this section.”</w:t>
      </w:r>
    </w:p>
    <w:p w14:paraId="792F1590" w14:textId="77777777" w:rsidR="00451158" w:rsidRPr="009E4BA4" w:rsidRDefault="00451158" w:rsidP="00451158">
      <w:pPr>
        <w:spacing w:after="0" w:line="240" w:lineRule="auto"/>
        <w:jc w:val="both"/>
        <w:rPr>
          <w:rFonts w:ascii="Times New Roman" w:eastAsia="Calibri" w:hAnsi="Times New Roman" w:cs="Times New Roman"/>
          <w:bCs/>
          <w:color w:val="333333"/>
          <w:sz w:val="24"/>
          <w:szCs w:val="24"/>
          <w:shd w:val="clear" w:color="auto" w:fill="FFFFFF"/>
        </w:rPr>
      </w:pPr>
    </w:p>
    <w:p w14:paraId="1E5B3451" w14:textId="77777777" w:rsidR="00451158" w:rsidRPr="009E4BA4" w:rsidRDefault="00451158" w:rsidP="00451158">
      <w:pPr>
        <w:spacing w:after="0" w:line="240" w:lineRule="auto"/>
        <w:jc w:val="both"/>
        <w:rPr>
          <w:rFonts w:ascii="Times New Roman" w:eastAsia="Times New Roman" w:hAnsi="Times New Roman" w:cs="Times New Roman"/>
          <w:snapToGrid w:val="0"/>
          <w:color w:val="000000"/>
          <w:sz w:val="24"/>
          <w:szCs w:val="24"/>
        </w:rPr>
      </w:pPr>
      <w:r w:rsidRPr="009E4BA4">
        <w:rPr>
          <w:rFonts w:ascii="Times New Roman" w:eastAsia="Calibri" w:hAnsi="Times New Roman" w:cs="Times New Roman"/>
          <w:bCs/>
          <w:color w:val="333333"/>
          <w:sz w:val="24"/>
          <w:szCs w:val="24"/>
          <w:shd w:val="clear" w:color="auto" w:fill="FFFFFF"/>
        </w:rPr>
        <w:t xml:space="preserve">In other words, among the duties of the Senate is to sit “for the trial of impeachments”. Obviously, the Senate cannot sit “for the trial of impeachments” where the underlying procedural channels for bringing charges of impeachments are non-functioning and corrupted.     In this regard, </w:t>
      </w:r>
      <w:r w:rsidRPr="009E4BA4">
        <w:rPr>
          <w:rFonts w:ascii="Times New Roman" w:eastAsia="Times New Roman" w:hAnsi="Times New Roman" w:cs="Times New Roman"/>
          <w:snapToGrid w:val="0"/>
          <w:color w:val="000000"/>
          <w:sz w:val="24"/>
          <w:szCs w:val="24"/>
        </w:rPr>
        <w:t xml:space="preserve">Article I  “Bill of Rights”, </w:t>
      </w:r>
      <w:r w:rsidRPr="009E4BA4">
        <w:rPr>
          <w:rFonts w:ascii="Times New Roman" w:eastAsia="Times New Roman" w:hAnsi="Times New Roman" w:cs="Times New Roman"/>
          <w:snapToGrid w:val="0"/>
          <w:sz w:val="24"/>
          <w:szCs w:val="24"/>
        </w:rPr>
        <w:t>§</w:t>
      </w:r>
      <w:r w:rsidRPr="009E4BA4">
        <w:rPr>
          <w:rFonts w:ascii="Times New Roman" w:eastAsia="Times New Roman" w:hAnsi="Times New Roman" w:cs="Times New Roman"/>
          <w:snapToGrid w:val="0"/>
          <w:color w:val="000000"/>
          <w:sz w:val="24"/>
          <w:szCs w:val="24"/>
        </w:rPr>
        <w:t xml:space="preserve">6 is germane, stating: </w:t>
      </w:r>
    </w:p>
    <w:p w14:paraId="2BF2DCC5" w14:textId="77777777" w:rsidR="00451158" w:rsidRPr="009E4BA4" w:rsidRDefault="00451158" w:rsidP="00451158">
      <w:pPr>
        <w:spacing w:after="0" w:line="240" w:lineRule="auto"/>
        <w:jc w:val="both"/>
        <w:rPr>
          <w:rFonts w:ascii="Times New Roman" w:eastAsia="Times New Roman" w:hAnsi="Times New Roman" w:cs="Times New Roman"/>
          <w:snapToGrid w:val="0"/>
          <w:color w:val="000000"/>
          <w:sz w:val="24"/>
          <w:szCs w:val="24"/>
        </w:rPr>
      </w:pPr>
    </w:p>
    <w:p w14:paraId="1F0C4723" w14:textId="77777777" w:rsidR="00451158" w:rsidRPr="009E4BA4" w:rsidRDefault="00451158" w:rsidP="0045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2" w:right="1152"/>
        <w:jc w:val="both"/>
        <w:rPr>
          <w:rFonts w:ascii="Times New Roman" w:eastAsia="Times New Roman" w:hAnsi="Times New Roman" w:cs="Times New Roman"/>
          <w:snapToGrid w:val="0"/>
          <w:color w:val="000000"/>
          <w:sz w:val="24"/>
          <w:szCs w:val="24"/>
        </w:rPr>
      </w:pPr>
      <w:r w:rsidRPr="009E4BA4">
        <w:rPr>
          <w:rFonts w:ascii="Times New Roman" w:eastAsia="Times New Roman" w:hAnsi="Times New Roman" w:cs="Times New Roman"/>
          <w:snapToGrid w:val="0"/>
          <w:color w:val="000000"/>
          <w:sz w:val="24"/>
          <w:szCs w:val="24"/>
        </w:rPr>
        <w:t xml:space="preserve">“…any public officer who, upon being called before a grand jury to testify concerning the conduct of his or her present office or of any public office held by him or her within five years prior to such grand jury call to testify, or the performance of his or her official duties in any such present or prior offices, refuses to sign a waiver of immunity against subsequent criminal prosecution, or to answer any relevant question concerning such  matters </w:t>
      </w:r>
      <w:r w:rsidRPr="009E4BA4">
        <w:rPr>
          <w:rFonts w:ascii="Times New Roman" w:eastAsia="Times New Roman" w:hAnsi="Times New Roman" w:cs="Times New Roman"/>
          <w:snapToGrid w:val="0"/>
          <w:color w:val="000000"/>
          <w:sz w:val="24"/>
          <w:szCs w:val="24"/>
        </w:rPr>
        <w:lastRenderedPageBreak/>
        <w:t xml:space="preserve">before such grand jury, shall by virtue of such refusal, be disqualified from holding any other public office or public employment for a period of five years from the date of such refusal to sign a waiver of immunity against subsequent prosecution, or to answer any  relevant  question concerning  such  matters  before  such grand jury, and </w:t>
      </w:r>
      <w:r w:rsidRPr="009E4BA4">
        <w:rPr>
          <w:rFonts w:ascii="Times New Roman" w:eastAsia="Times New Roman" w:hAnsi="Times New Roman" w:cs="Times New Roman"/>
          <w:snapToGrid w:val="0"/>
          <w:color w:val="000000"/>
          <w:sz w:val="24"/>
          <w:szCs w:val="24"/>
          <w:u w:val="single"/>
        </w:rPr>
        <w:t>shall be removed from his or her present office by the appropriate  authority or shall forfeit his or her present office at the suit of the attorney-general</w:t>
      </w:r>
      <w:r w:rsidRPr="009E4BA4">
        <w:rPr>
          <w:rFonts w:ascii="Times New Roman" w:eastAsia="Times New Roman" w:hAnsi="Times New Roman" w:cs="Times New Roman"/>
          <w:snapToGrid w:val="0"/>
          <w:color w:val="000000"/>
          <w:sz w:val="24"/>
          <w:szCs w:val="24"/>
        </w:rPr>
        <w:t>.</w:t>
      </w:r>
    </w:p>
    <w:p w14:paraId="3511CDD3" w14:textId="77777777" w:rsidR="00451158" w:rsidRPr="009E4BA4" w:rsidRDefault="00451158" w:rsidP="0045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2" w:right="1152"/>
        <w:jc w:val="both"/>
        <w:rPr>
          <w:rFonts w:ascii="Times New Roman" w:eastAsia="Times New Roman" w:hAnsi="Times New Roman" w:cs="Times New Roman"/>
          <w:snapToGrid w:val="0"/>
          <w:color w:val="000000"/>
          <w:sz w:val="24"/>
          <w:szCs w:val="24"/>
        </w:rPr>
      </w:pPr>
      <w:r w:rsidRPr="009E4BA4">
        <w:rPr>
          <w:rFonts w:ascii="Times New Roman" w:eastAsia="Times New Roman" w:hAnsi="Times New Roman" w:cs="Times New Roman"/>
          <w:snapToGrid w:val="0"/>
          <w:color w:val="000000"/>
          <w:sz w:val="24"/>
          <w:szCs w:val="24"/>
        </w:rPr>
        <w:tab/>
        <w:t xml:space="preserve">The power of grand juries to inquire into the </w:t>
      </w:r>
      <w:proofErr w:type="spellStart"/>
      <w:r w:rsidRPr="009E4BA4">
        <w:rPr>
          <w:rFonts w:ascii="Times New Roman" w:eastAsia="Times New Roman" w:hAnsi="Times New Roman" w:cs="Times New Roman"/>
          <w:snapToGrid w:val="0"/>
          <w:color w:val="000000"/>
          <w:sz w:val="24"/>
          <w:szCs w:val="24"/>
        </w:rPr>
        <w:t>wilful</w:t>
      </w:r>
      <w:proofErr w:type="spellEnd"/>
      <w:r w:rsidRPr="009E4BA4">
        <w:rPr>
          <w:rFonts w:ascii="Times New Roman" w:eastAsia="Times New Roman" w:hAnsi="Times New Roman" w:cs="Times New Roman"/>
          <w:snapToGrid w:val="0"/>
          <w:color w:val="000000"/>
          <w:sz w:val="24"/>
          <w:szCs w:val="24"/>
        </w:rPr>
        <w:t xml:space="preserve"> misconduct in office of public officers, and to find indictments or to direct the filing of </w:t>
      </w:r>
      <w:proofErr w:type="spellStart"/>
      <w:r w:rsidRPr="009E4BA4">
        <w:rPr>
          <w:rFonts w:ascii="Times New Roman" w:eastAsia="Times New Roman" w:hAnsi="Times New Roman" w:cs="Times New Roman"/>
          <w:snapToGrid w:val="0"/>
          <w:color w:val="000000"/>
          <w:sz w:val="24"/>
          <w:szCs w:val="24"/>
        </w:rPr>
        <w:t>informations</w:t>
      </w:r>
      <w:proofErr w:type="spellEnd"/>
      <w:r w:rsidRPr="009E4BA4">
        <w:rPr>
          <w:rFonts w:ascii="Times New Roman" w:eastAsia="Times New Roman" w:hAnsi="Times New Roman" w:cs="Times New Roman"/>
          <w:snapToGrid w:val="0"/>
          <w:color w:val="000000"/>
          <w:sz w:val="24"/>
          <w:szCs w:val="24"/>
        </w:rPr>
        <w:t xml:space="preserve"> in connection with such inquiries, shall never be suspended or impaired by law.”</w:t>
      </w:r>
    </w:p>
    <w:p w14:paraId="0711F5C4" w14:textId="77777777" w:rsidR="00451158" w:rsidRPr="009E4BA4" w:rsidRDefault="00451158" w:rsidP="0045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2" w:right="1152"/>
        <w:jc w:val="both"/>
        <w:rPr>
          <w:rFonts w:ascii="Times New Roman" w:eastAsia="Times New Roman" w:hAnsi="Times New Roman" w:cs="Times New Roman"/>
          <w:snapToGrid w:val="0"/>
          <w:color w:val="000000"/>
          <w:sz w:val="24"/>
          <w:szCs w:val="24"/>
        </w:rPr>
      </w:pPr>
    </w:p>
    <w:p w14:paraId="570E1913" w14:textId="31A56FB3" w:rsidR="00451158" w:rsidRPr="009E4BA4" w:rsidRDefault="00451158" w:rsidP="0045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napToGrid w:val="0"/>
          <w:color w:val="000000"/>
          <w:sz w:val="24"/>
          <w:szCs w:val="24"/>
        </w:rPr>
      </w:pPr>
      <w:r w:rsidRPr="009E4BA4">
        <w:rPr>
          <w:rFonts w:ascii="Times New Roman" w:eastAsia="Times New Roman" w:hAnsi="Times New Roman" w:cs="Times New Roman"/>
          <w:snapToGrid w:val="0"/>
          <w:color w:val="000000"/>
          <w:sz w:val="24"/>
          <w:szCs w:val="24"/>
        </w:rPr>
        <w:t xml:space="preserve">The conduit to the grand jury </w:t>
      </w:r>
      <w:proofErr w:type="gramStart"/>
      <w:r w:rsidRPr="009E4BA4">
        <w:rPr>
          <w:rFonts w:ascii="Times New Roman" w:eastAsia="Times New Roman" w:hAnsi="Times New Roman" w:cs="Times New Roman"/>
          <w:snapToGrid w:val="0"/>
          <w:color w:val="000000"/>
          <w:sz w:val="24"/>
          <w:szCs w:val="24"/>
        </w:rPr>
        <w:t>are</w:t>
      </w:r>
      <w:proofErr w:type="gramEnd"/>
      <w:r w:rsidRPr="009E4BA4">
        <w:rPr>
          <w:rFonts w:ascii="Times New Roman" w:eastAsia="Times New Roman" w:hAnsi="Times New Roman" w:cs="Times New Roman"/>
          <w:snapToGrid w:val="0"/>
          <w:color w:val="000000"/>
          <w:sz w:val="24"/>
          <w:szCs w:val="24"/>
        </w:rPr>
        <w:t xml:space="preserve"> the district attorneys – who are within the jurisdiction of the Codes Committee.  Yet, the Codes Committee</w:t>
      </w:r>
      <w:r>
        <w:rPr>
          <w:rFonts w:ascii="Times New Roman" w:eastAsia="Times New Roman" w:hAnsi="Times New Roman" w:cs="Times New Roman"/>
          <w:snapToGrid w:val="0"/>
          <w:color w:val="000000"/>
          <w:sz w:val="24"/>
          <w:szCs w:val="24"/>
        </w:rPr>
        <w:t>s of both houses – as likewise their Judiciary Committees</w:t>
      </w:r>
      <w:r w:rsidRPr="009E4BA4">
        <w:rPr>
          <w:rFonts w:ascii="Times New Roman" w:eastAsia="Times New Roman" w:hAnsi="Times New Roman" w:cs="Times New Roman"/>
          <w:snapToGrid w:val="0"/>
          <w:color w:val="000000"/>
          <w:sz w:val="24"/>
          <w:szCs w:val="24"/>
        </w:rPr>
        <w:t xml:space="preserve"> ha</w:t>
      </w:r>
      <w:r w:rsidR="00881AD0">
        <w:rPr>
          <w:rFonts w:ascii="Times New Roman" w:eastAsia="Times New Roman" w:hAnsi="Times New Roman" w:cs="Times New Roman"/>
          <w:snapToGrid w:val="0"/>
          <w:color w:val="000000"/>
          <w:sz w:val="24"/>
          <w:szCs w:val="24"/>
        </w:rPr>
        <w:t>ve</w:t>
      </w:r>
      <w:r w:rsidRPr="009E4BA4">
        <w:rPr>
          <w:rFonts w:ascii="Times New Roman" w:eastAsia="Times New Roman" w:hAnsi="Times New Roman" w:cs="Times New Roman"/>
          <w:snapToGrid w:val="0"/>
          <w:color w:val="000000"/>
          <w:sz w:val="24"/>
          <w:szCs w:val="24"/>
        </w:rPr>
        <w:t xml:space="preserve"> not, for decades, held any oversight hearings over the district attorneys to determine whether, in fact, they are discharging </w:t>
      </w:r>
      <w:r>
        <w:rPr>
          <w:rFonts w:ascii="Times New Roman" w:eastAsia="Times New Roman" w:hAnsi="Times New Roman" w:cs="Times New Roman"/>
          <w:snapToGrid w:val="0"/>
          <w:color w:val="000000"/>
          <w:sz w:val="24"/>
          <w:szCs w:val="24"/>
        </w:rPr>
        <w:t xml:space="preserve">their </w:t>
      </w:r>
      <w:r w:rsidRPr="009E4BA4">
        <w:rPr>
          <w:rFonts w:ascii="Times New Roman" w:eastAsia="Times New Roman" w:hAnsi="Times New Roman" w:cs="Times New Roman"/>
          <w:snapToGrid w:val="0"/>
          <w:color w:val="000000"/>
          <w:sz w:val="24"/>
          <w:szCs w:val="24"/>
        </w:rPr>
        <w:t xml:space="preserve">duties to investigate and prosecute </w:t>
      </w:r>
      <w:r>
        <w:rPr>
          <w:rFonts w:ascii="Times New Roman" w:eastAsia="Times New Roman" w:hAnsi="Times New Roman" w:cs="Times New Roman"/>
          <w:snapToGrid w:val="0"/>
          <w:color w:val="000000"/>
          <w:sz w:val="24"/>
          <w:szCs w:val="24"/>
        </w:rPr>
        <w:t xml:space="preserve">public officers for corruption of their official duties – and CJA’s second citizen-taxpayer action establishes this, as well.  </w:t>
      </w:r>
      <w:r w:rsidRPr="009E4BA4">
        <w:rPr>
          <w:rFonts w:ascii="Times New Roman" w:eastAsia="Times New Roman" w:hAnsi="Times New Roman" w:cs="Times New Roman"/>
          <w:snapToGrid w:val="0"/>
          <w:color w:val="000000"/>
          <w:sz w:val="24"/>
          <w:szCs w:val="24"/>
        </w:rPr>
        <w:t xml:space="preserve"> </w:t>
      </w:r>
    </w:p>
    <w:p w14:paraId="1EE44803" w14:textId="36AB705C" w:rsidR="00451158" w:rsidRDefault="00451158" w:rsidP="002A7E3C">
      <w:pPr>
        <w:jc w:val="both"/>
        <w:rPr>
          <w:rFonts w:ascii="Times New Roman" w:eastAsia="Calibri" w:hAnsi="Times New Roman" w:cs="Times New Roman"/>
          <w:b/>
          <w:bCs/>
          <w:color w:val="333333"/>
          <w:sz w:val="24"/>
          <w:szCs w:val="24"/>
          <w:u w:val="single"/>
          <w:shd w:val="clear" w:color="auto" w:fill="FFFFFF"/>
        </w:rPr>
      </w:pPr>
    </w:p>
    <w:p w14:paraId="6A024805" w14:textId="7491D668" w:rsidR="00451158" w:rsidRDefault="00451158" w:rsidP="002A7E3C">
      <w:pPr>
        <w:jc w:val="both"/>
        <w:rPr>
          <w:rFonts w:ascii="Times New Roman" w:eastAsia="Calibri" w:hAnsi="Times New Roman" w:cs="Times New Roman"/>
          <w:b/>
          <w:bCs/>
          <w:color w:val="333333"/>
          <w:sz w:val="24"/>
          <w:szCs w:val="24"/>
          <w:u w:val="single"/>
          <w:shd w:val="clear" w:color="auto" w:fill="FFFFFF"/>
        </w:rPr>
      </w:pPr>
    </w:p>
    <w:p w14:paraId="19DB57E2" w14:textId="0EC73592" w:rsidR="00451158" w:rsidRDefault="00451158" w:rsidP="002A7E3C">
      <w:pPr>
        <w:jc w:val="both"/>
        <w:rPr>
          <w:rFonts w:ascii="Times New Roman" w:eastAsia="Calibri" w:hAnsi="Times New Roman" w:cs="Times New Roman"/>
          <w:b/>
          <w:bCs/>
          <w:color w:val="333333"/>
          <w:sz w:val="24"/>
          <w:szCs w:val="24"/>
          <w:u w:val="single"/>
          <w:shd w:val="clear" w:color="auto" w:fill="FFFFFF"/>
        </w:rPr>
      </w:pPr>
    </w:p>
    <w:p w14:paraId="0B5EEBEC" w14:textId="32BAF441" w:rsidR="00451158" w:rsidRDefault="00451158" w:rsidP="002A7E3C">
      <w:pPr>
        <w:jc w:val="both"/>
        <w:rPr>
          <w:rFonts w:ascii="Times New Roman" w:eastAsia="Calibri" w:hAnsi="Times New Roman" w:cs="Times New Roman"/>
          <w:b/>
          <w:bCs/>
          <w:color w:val="333333"/>
          <w:sz w:val="24"/>
          <w:szCs w:val="24"/>
          <w:u w:val="single"/>
          <w:shd w:val="clear" w:color="auto" w:fill="FFFFFF"/>
        </w:rPr>
      </w:pPr>
    </w:p>
    <w:p w14:paraId="49392D5E" w14:textId="318E3B20"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387F1B82" w14:textId="7F4F1EBE"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195B5B08" w14:textId="60C00D0F"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42C1D968" w14:textId="21BE4645"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1B9A9697" w14:textId="148FEA50"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701CAF2A" w14:textId="1778CFA1"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10C20039" w14:textId="7D8F4F0A"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7DD825A5" w14:textId="68292440"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0D608817" w14:textId="4B518FDB"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p w14:paraId="13089290" w14:textId="4AEB5529" w:rsidR="00881AD0" w:rsidRDefault="00881AD0" w:rsidP="002A7E3C">
      <w:pPr>
        <w:jc w:val="both"/>
        <w:rPr>
          <w:rFonts w:ascii="Times New Roman" w:eastAsia="Calibri" w:hAnsi="Times New Roman" w:cs="Times New Roman"/>
          <w:b/>
          <w:bCs/>
          <w:color w:val="333333"/>
          <w:sz w:val="24"/>
          <w:szCs w:val="24"/>
          <w:u w:val="single"/>
          <w:shd w:val="clear" w:color="auto" w:fill="FFFFFF"/>
        </w:rPr>
      </w:pPr>
    </w:p>
    <w:sectPr w:rsidR="00881AD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19E1" w14:textId="77777777" w:rsidR="00CC23F0" w:rsidRDefault="00CC23F0" w:rsidP="00FD3613">
      <w:pPr>
        <w:spacing w:after="0" w:line="240" w:lineRule="auto"/>
      </w:pPr>
      <w:r>
        <w:separator/>
      </w:r>
    </w:p>
  </w:endnote>
  <w:endnote w:type="continuationSeparator" w:id="0">
    <w:p w14:paraId="5FCAEE37" w14:textId="77777777" w:rsidR="00CC23F0" w:rsidRDefault="00CC23F0" w:rsidP="00FD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231820"/>
      <w:docPartObj>
        <w:docPartGallery w:val="Page Numbers (Bottom of Page)"/>
        <w:docPartUnique/>
      </w:docPartObj>
    </w:sdtPr>
    <w:sdtEndPr>
      <w:rPr>
        <w:noProof/>
      </w:rPr>
    </w:sdtEndPr>
    <w:sdtContent>
      <w:p w14:paraId="0F509453" w14:textId="1EA4B5CA" w:rsidR="001B1BB0" w:rsidRDefault="001B1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22B49" w14:textId="77777777" w:rsidR="001B1BB0" w:rsidRDefault="001B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B604" w14:textId="77777777" w:rsidR="00CC23F0" w:rsidRDefault="00CC23F0" w:rsidP="00FD3613">
      <w:pPr>
        <w:spacing w:after="0" w:line="240" w:lineRule="auto"/>
      </w:pPr>
      <w:r>
        <w:separator/>
      </w:r>
    </w:p>
  </w:footnote>
  <w:footnote w:type="continuationSeparator" w:id="0">
    <w:p w14:paraId="3455F1D5" w14:textId="77777777" w:rsidR="00CC23F0" w:rsidRDefault="00CC23F0" w:rsidP="00FD3613">
      <w:pPr>
        <w:spacing w:after="0" w:line="240" w:lineRule="auto"/>
      </w:pPr>
      <w:r>
        <w:continuationSeparator/>
      </w:r>
    </w:p>
  </w:footnote>
  <w:footnote w:id="1">
    <w:p w14:paraId="64E51D37" w14:textId="654E6D73" w:rsidR="001B1BB0" w:rsidRDefault="001B1BB0" w:rsidP="00DA6512">
      <w:pPr>
        <w:spacing w:after="0" w:line="240" w:lineRule="auto"/>
        <w:ind w:right="144"/>
        <w:jc w:val="both"/>
      </w:pPr>
      <w:r w:rsidRPr="00DA6512">
        <w:rPr>
          <w:rStyle w:val="FootnoteReference"/>
        </w:rPr>
        <w:footnoteRef/>
      </w:r>
      <w:r w:rsidRPr="00DA6512">
        <w:t xml:space="preserve"> </w:t>
      </w:r>
      <w:r w:rsidRPr="00DA6512">
        <w:tab/>
      </w:r>
      <w:r w:rsidRPr="00DA6512">
        <w:rPr>
          <w:rFonts w:ascii="Times New Roman" w:eastAsia="Times New Roman" w:hAnsi="Times New Roman" w:cs="Times New Roman"/>
          <w:snapToGrid w:val="0"/>
        </w:rPr>
        <w:t xml:space="preserve">Suffice to further note that </w:t>
      </w:r>
      <w:r w:rsidRPr="00DA6512">
        <w:rPr>
          <w:rFonts w:ascii="Times New Roman" w:eastAsia="Calibri" w:hAnsi="Times New Roman" w:cs="Times New Roman"/>
          <w:bCs/>
          <w:color w:val="333333"/>
          <w:shd w:val="clear" w:color="auto" w:fill="FFFFFF"/>
        </w:rPr>
        <w:t xml:space="preserve">§1 also identifies that </w:t>
      </w:r>
      <w:r w:rsidRPr="00DA6512">
        <w:rPr>
          <w:rFonts w:ascii="Times New Roman" w:eastAsia="Times New Roman" w:hAnsi="Times New Roman" w:cs="Times New Roman"/>
          <w:snapToGrid w:val="0"/>
        </w:rPr>
        <w:t xml:space="preserve">the Committee was established, upon enactment of the statute – and that it facilitated same by already designating its five members.  </w:t>
      </w:r>
    </w:p>
  </w:footnote>
  <w:footnote w:id="2">
    <w:p w14:paraId="19BBAFCC" w14:textId="77777777" w:rsidR="001B1BB0" w:rsidRDefault="001B1BB0" w:rsidP="00451158">
      <w:pPr>
        <w:pStyle w:val="FootnoteText"/>
      </w:pPr>
      <w:r>
        <w:rPr>
          <w:rStyle w:val="FootnoteReference"/>
        </w:rPr>
        <w:footnoteRef/>
      </w:r>
      <w:r>
        <w:t xml:space="preserve"> </w:t>
      </w:r>
      <w:hyperlink r:id="rId1" w:anchor="note-1" w:history="1">
        <w:r w:rsidRPr="00C643CC">
          <w:rPr>
            <w:rStyle w:val="Hyperlink"/>
          </w:rPr>
          <w:t>https://www.merriam-webster.com/dictionary/holistic#note-1</w:t>
        </w:r>
      </w:hyperlink>
    </w:p>
    <w:p w14:paraId="5053F6A1" w14:textId="77777777" w:rsidR="001B1BB0" w:rsidRDefault="001B1BB0" w:rsidP="004511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F8EA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4064A"/>
    <w:multiLevelType w:val="hybridMultilevel"/>
    <w:tmpl w:val="F786798E"/>
    <w:lvl w:ilvl="0" w:tplc="D3F05C7E">
      <w:start w:val="1"/>
      <w:numFmt w:val="bullet"/>
      <w:lvlText w:val="•"/>
      <w:lvlJc w:val="left"/>
      <w:pPr>
        <w:tabs>
          <w:tab w:val="num" w:pos="720"/>
        </w:tabs>
        <w:ind w:left="720" w:hanging="360"/>
      </w:pPr>
      <w:rPr>
        <w:rFonts w:ascii="Arial" w:hAnsi="Arial" w:hint="default"/>
      </w:rPr>
    </w:lvl>
    <w:lvl w:ilvl="1" w:tplc="EC229B74" w:tentative="1">
      <w:start w:val="1"/>
      <w:numFmt w:val="bullet"/>
      <w:lvlText w:val="•"/>
      <w:lvlJc w:val="left"/>
      <w:pPr>
        <w:tabs>
          <w:tab w:val="num" w:pos="1440"/>
        </w:tabs>
        <w:ind w:left="1440" w:hanging="360"/>
      </w:pPr>
      <w:rPr>
        <w:rFonts w:ascii="Arial" w:hAnsi="Arial" w:hint="default"/>
      </w:rPr>
    </w:lvl>
    <w:lvl w:ilvl="2" w:tplc="1C728FE6" w:tentative="1">
      <w:start w:val="1"/>
      <w:numFmt w:val="bullet"/>
      <w:lvlText w:val="•"/>
      <w:lvlJc w:val="left"/>
      <w:pPr>
        <w:tabs>
          <w:tab w:val="num" w:pos="2160"/>
        </w:tabs>
        <w:ind w:left="2160" w:hanging="360"/>
      </w:pPr>
      <w:rPr>
        <w:rFonts w:ascii="Arial" w:hAnsi="Arial" w:hint="default"/>
      </w:rPr>
    </w:lvl>
    <w:lvl w:ilvl="3" w:tplc="1682C2EA" w:tentative="1">
      <w:start w:val="1"/>
      <w:numFmt w:val="bullet"/>
      <w:lvlText w:val="•"/>
      <w:lvlJc w:val="left"/>
      <w:pPr>
        <w:tabs>
          <w:tab w:val="num" w:pos="2880"/>
        </w:tabs>
        <w:ind w:left="2880" w:hanging="360"/>
      </w:pPr>
      <w:rPr>
        <w:rFonts w:ascii="Arial" w:hAnsi="Arial" w:hint="default"/>
      </w:rPr>
    </w:lvl>
    <w:lvl w:ilvl="4" w:tplc="FD2ABC2E" w:tentative="1">
      <w:start w:val="1"/>
      <w:numFmt w:val="bullet"/>
      <w:lvlText w:val="•"/>
      <w:lvlJc w:val="left"/>
      <w:pPr>
        <w:tabs>
          <w:tab w:val="num" w:pos="3600"/>
        </w:tabs>
        <w:ind w:left="3600" w:hanging="360"/>
      </w:pPr>
      <w:rPr>
        <w:rFonts w:ascii="Arial" w:hAnsi="Arial" w:hint="default"/>
      </w:rPr>
    </w:lvl>
    <w:lvl w:ilvl="5" w:tplc="B712B6CC" w:tentative="1">
      <w:start w:val="1"/>
      <w:numFmt w:val="bullet"/>
      <w:lvlText w:val="•"/>
      <w:lvlJc w:val="left"/>
      <w:pPr>
        <w:tabs>
          <w:tab w:val="num" w:pos="4320"/>
        </w:tabs>
        <w:ind w:left="4320" w:hanging="360"/>
      </w:pPr>
      <w:rPr>
        <w:rFonts w:ascii="Arial" w:hAnsi="Arial" w:hint="default"/>
      </w:rPr>
    </w:lvl>
    <w:lvl w:ilvl="6" w:tplc="3A02B056" w:tentative="1">
      <w:start w:val="1"/>
      <w:numFmt w:val="bullet"/>
      <w:lvlText w:val="•"/>
      <w:lvlJc w:val="left"/>
      <w:pPr>
        <w:tabs>
          <w:tab w:val="num" w:pos="5040"/>
        </w:tabs>
        <w:ind w:left="5040" w:hanging="360"/>
      </w:pPr>
      <w:rPr>
        <w:rFonts w:ascii="Arial" w:hAnsi="Arial" w:hint="default"/>
      </w:rPr>
    </w:lvl>
    <w:lvl w:ilvl="7" w:tplc="66CC2EE6" w:tentative="1">
      <w:start w:val="1"/>
      <w:numFmt w:val="bullet"/>
      <w:lvlText w:val="•"/>
      <w:lvlJc w:val="left"/>
      <w:pPr>
        <w:tabs>
          <w:tab w:val="num" w:pos="5760"/>
        </w:tabs>
        <w:ind w:left="5760" w:hanging="360"/>
      </w:pPr>
      <w:rPr>
        <w:rFonts w:ascii="Arial" w:hAnsi="Arial" w:hint="default"/>
      </w:rPr>
    </w:lvl>
    <w:lvl w:ilvl="8" w:tplc="77BC00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72287"/>
    <w:multiLevelType w:val="hybridMultilevel"/>
    <w:tmpl w:val="38F0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3898"/>
    <w:multiLevelType w:val="hybridMultilevel"/>
    <w:tmpl w:val="165418D0"/>
    <w:lvl w:ilvl="0" w:tplc="859C4F00">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A6025"/>
    <w:multiLevelType w:val="hybridMultilevel"/>
    <w:tmpl w:val="E4400EF8"/>
    <w:lvl w:ilvl="0" w:tplc="B61C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265C1"/>
    <w:multiLevelType w:val="hybridMultilevel"/>
    <w:tmpl w:val="F92CB6EA"/>
    <w:lvl w:ilvl="0" w:tplc="97CAB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FF4578"/>
    <w:multiLevelType w:val="hybridMultilevel"/>
    <w:tmpl w:val="A7840FB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27F36"/>
    <w:multiLevelType w:val="hybridMultilevel"/>
    <w:tmpl w:val="BC40836E"/>
    <w:lvl w:ilvl="0" w:tplc="86862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F77AD"/>
    <w:multiLevelType w:val="hybridMultilevel"/>
    <w:tmpl w:val="156C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21E9A"/>
    <w:multiLevelType w:val="hybridMultilevel"/>
    <w:tmpl w:val="BF5A58C2"/>
    <w:lvl w:ilvl="0" w:tplc="5CE89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F7F3F"/>
    <w:multiLevelType w:val="hybridMultilevel"/>
    <w:tmpl w:val="5030A0D6"/>
    <w:lvl w:ilvl="0" w:tplc="CC3E0F2A">
      <w:start w:val="193"/>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5"/>
  </w:num>
  <w:num w:numId="5">
    <w:abstractNumId w:val="3"/>
  </w:num>
  <w:num w:numId="6">
    <w:abstractNumId w:val="0"/>
  </w:num>
  <w:num w:numId="7">
    <w:abstractNumId w:val="9"/>
  </w:num>
  <w:num w:numId="8">
    <w:abstractNumId w:val="7"/>
  </w:num>
  <w:num w:numId="9">
    <w:abstractNumId w:val="2"/>
  </w:num>
  <w:num w:numId="10">
    <w:abstractNumId w:val="8"/>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2A"/>
    <w:rsid w:val="000004FA"/>
    <w:rsid w:val="0000100A"/>
    <w:rsid w:val="00003AF2"/>
    <w:rsid w:val="00004A36"/>
    <w:rsid w:val="000057BF"/>
    <w:rsid w:val="00006D2C"/>
    <w:rsid w:val="00013A60"/>
    <w:rsid w:val="000209F4"/>
    <w:rsid w:val="000217FE"/>
    <w:rsid w:val="00024D09"/>
    <w:rsid w:val="00027DEE"/>
    <w:rsid w:val="0003007E"/>
    <w:rsid w:val="000301D1"/>
    <w:rsid w:val="00036E7A"/>
    <w:rsid w:val="00046ED6"/>
    <w:rsid w:val="000470B6"/>
    <w:rsid w:val="00052D73"/>
    <w:rsid w:val="00054708"/>
    <w:rsid w:val="00055E40"/>
    <w:rsid w:val="00056936"/>
    <w:rsid w:val="00057329"/>
    <w:rsid w:val="00057659"/>
    <w:rsid w:val="00066A0D"/>
    <w:rsid w:val="0007112A"/>
    <w:rsid w:val="000732F9"/>
    <w:rsid w:val="0007355A"/>
    <w:rsid w:val="000735FA"/>
    <w:rsid w:val="00073A50"/>
    <w:rsid w:val="00076BEB"/>
    <w:rsid w:val="000822A0"/>
    <w:rsid w:val="0008249B"/>
    <w:rsid w:val="00083FBB"/>
    <w:rsid w:val="000874C5"/>
    <w:rsid w:val="000911C6"/>
    <w:rsid w:val="00091F3E"/>
    <w:rsid w:val="00093538"/>
    <w:rsid w:val="0009497D"/>
    <w:rsid w:val="000A16DC"/>
    <w:rsid w:val="000A1810"/>
    <w:rsid w:val="000A1F25"/>
    <w:rsid w:val="000B16E9"/>
    <w:rsid w:val="000B5BA9"/>
    <w:rsid w:val="000B652F"/>
    <w:rsid w:val="000B71EC"/>
    <w:rsid w:val="000B7DF0"/>
    <w:rsid w:val="000C2C8B"/>
    <w:rsid w:val="000C2FF6"/>
    <w:rsid w:val="000C4C32"/>
    <w:rsid w:val="000C5342"/>
    <w:rsid w:val="000C5C81"/>
    <w:rsid w:val="000D48D4"/>
    <w:rsid w:val="000D4CDF"/>
    <w:rsid w:val="000D52B3"/>
    <w:rsid w:val="000D7E09"/>
    <w:rsid w:val="000E2D23"/>
    <w:rsid w:val="000E5006"/>
    <w:rsid w:val="000F27BB"/>
    <w:rsid w:val="000F6F8A"/>
    <w:rsid w:val="00105080"/>
    <w:rsid w:val="0010598C"/>
    <w:rsid w:val="001078B8"/>
    <w:rsid w:val="001133D9"/>
    <w:rsid w:val="00114617"/>
    <w:rsid w:val="00115DB1"/>
    <w:rsid w:val="00120BDF"/>
    <w:rsid w:val="00120FF3"/>
    <w:rsid w:val="0012125D"/>
    <w:rsid w:val="001224AD"/>
    <w:rsid w:val="00124B99"/>
    <w:rsid w:val="001263B3"/>
    <w:rsid w:val="001273A7"/>
    <w:rsid w:val="0013023A"/>
    <w:rsid w:val="0013321E"/>
    <w:rsid w:val="001374BC"/>
    <w:rsid w:val="001376E1"/>
    <w:rsid w:val="0014027A"/>
    <w:rsid w:val="00142732"/>
    <w:rsid w:val="00146403"/>
    <w:rsid w:val="001472F2"/>
    <w:rsid w:val="00147A19"/>
    <w:rsid w:val="0015082F"/>
    <w:rsid w:val="00151E07"/>
    <w:rsid w:val="001549A0"/>
    <w:rsid w:val="00155CC6"/>
    <w:rsid w:val="001650EB"/>
    <w:rsid w:val="0017016C"/>
    <w:rsid w:val="00172C0A"/>
    <w:rsid w:val="00172C7A"/>
    <w:rsid w:val="001846C5"/>
    <w:rsid w:val="00187F84"/>
    <w:rsid w:val="0019375E"/>
    <w:rsid w:val="00194610"/>
    <w:rsid w:val="001A2694"/>
    <w:rsid w:val="001A6A90"/>
    <w:rsid w:val="001A71F1"/>
    <w:rsid w:val="001B0FBC"/>
    <w:rsid w:val="001B1BB0"/>
    <w:rsid w:val="001B5525"/>
    <w:rsid w:val="001B5977"/>
    <w:rsid w:val="001C2D18"/>
    <w:rsid w:val="001C4CF1"/>
    <w:rsid w:val="001C7006"/>
    <w:rsid w:val="001C79B6"/>
    <w:rsid w:val="001D010F"/>
    <w:rsid w:val="001D7089"/>
    <w:rsid w:val="001D79C8"/>
    <w:rsid w:val="001E4E39"/>
    <w:rsid w:val="001E4FCE"/>
    <w:rsid w:val="001F11E6"/>
    <w:rsid w:val="001F19B8"/>
    <w:rsid w:val="001F2068"/>
    <w:rsid w:val="00200574"/>
    <w:rsid w:val="00202462"/>
    <w:rsid w:val="00203C54"/>
    <w:rsid w:val="00206B2C"/>
    <w:rsid w:val="002075DA"/>
    <w:rsid w:val="0021286F"/>
    <w:rsid w:val="00213C29"/>
    <w:rsid w:val="00214918"/>
    <w:rsid w:val="0021765E"/>
    <w:rsid w:val="002218EB"/>
    <w:rsid w:val="002230C6"/>
    <w:rsid w:val="002241DB"/>
    <w:rsid w:val="00224302"/>
    <w:rsid w:val="002257E1"/>
    <w:rsid w:val="002279D8"/>
    <w:rsid w:val="0023344A"/>
    <w:rsid w:val="00233C31"/>
    <w:rsid w:val="00234F70"/>
    <w:rsid w:val="00235CDB"/>
    <w:rsid w:val="00254BA4"/>
    <w:rsid w:val="00257D23"/>
    <w:rsid w:val="00257FA5"/>
    <w:rsid w:val="002611E9"/>
    <w:rsid w:val="00261E53"/>
    <w:rsid w:val="002667A8"/>
    <w:rsid w:val="00273224"/>
    <w:rsid w:val="00275E15"/>
    <w:rsid w:val="00277858"/>
    <w:rsid w:val="00282799"/>
    <w:rsid w:val="00283348"/>
    <w:rsid w:val="00285E2B"/>
    <w:rsid w:val="00287235"/>
    <w:rsid w:val="00291286"/>
    <w:rsid w:val="0029308B"/>
    <w:rsid w:val="002A154C"/>
    <w:rsid w:val="002A40FE"/>
    <w:rsid w:val="002A4269"/>
    <w:rsid w:val="002A440C"/>
    <w:rsid w:val="002A4F2A"/>
    <w:rsid w:val="002A6E03"/>
    <w:rsid w:val="002A7E3C"/>
    <w:rsid w:val="002B2D4A"/>
    <w:rsid w:val="002B660D"/>
    <w:rsid w:val="002B6AE2"/>
    <w:rsid w:val="002C1A4D"/>
    <w:rsid w:val="002C1DC3"/>
    <w:rsid w:val="002C4A5F"/>
    <w:rsid w:val="002C5A84"/>
    <w:rsid w:val="002C67BB"/>
    <w:rsid w:val="002C7A70"/>
    <w:rsid w:val="002D41F6"/>
    <w:rsid w:val="002D4249"/>
    <w:rsid w:val="002D699E"/>
    <w:rsid w:val="002D6A74"/>
    <w:rsid w:val="002E6DFF"/>
    <w:rsid w:val="002E6F73"/>
    <w:rsid w:val="002F18ED"/>
    <w:rsid w:val="002F1C7E"/>
    <w:rsid w:val="002F2F6E"/>
    <w:rsid w:val="002F5B67"/>
    <w:rsid w:val="00301C91"/>
    <w:rsid w:val="00302FD4"/>
    <w:rsid w:val="003072E0"/>
    <w:rsid w:val="00310EA2"/>
    <w:rsid w:val="0031297F"/>
    <w:rsid w:val="003149FF"/>
    <w:rsid w:val="00317F6B"/>
    <w:rsid w:val="00322277"/>
    <w:rsid w:val="0032395C"/>
    <w:rsid w:val="003243DB"/>
    <w:rsid w:val="0032516F"/>
    <w:rsid w:val="00325BBB"/>
    <w:rsid w:val="0032678B"/>
    <w:rsid w:val="00331CCC"/>
    <w:rsid w:val="00337A0F"/>
    <w:rsid w:val="00340B8E"/>
    <w:rsid w:val="0034136B"/>
    <w:rsid w:val="0034172F"/>
    <w:rsid w:val="00341F84"/>
    <w:rsid w:val="00342BA3"/>
    <w:rsid w:val="00344EBB"/>
    <w:rsid w:val="00347FD8"/>
    <w:rsid w:val="003538CF"/>
    <w:rsid w:val="00353A35"/>
    <w:rsid w:val="003551BF"/>
    <w:rsid w:val="00362511"/>
    <w:rsid w:val="003648B1"/>
    <w:rsid w:val="0036598F"/>
    <w:rsid w:val="00367667"/>
    <w:rsid w:val="0037366A"/>
    <w:rsid w:val="00381269"/>
    <w:rsid w:val="00382168"/>
    <w:rsid w:val="00382F01"/>
    <w:rsid w:val="003836B0"/>
    <w:rsid w:val="0038507A"/>
    <w:rsid w:val="00386173"/>
    <w:rsid w:val="003923F4"/>
    <w:rsid w:val="00395319"/>
    <w:rsid w:val="003953B5"/>
    <w:rsid w:val="00395D89"/>
    <w:rsid w:val="00397F14"/>
    <w:rsid w:val="003A2101"/>
    <w:rsid w:val="003A2A2F"/>
    <w:rsid w:val="003A4F35"/>
    <w:rsid w:val="003A5693"/>
    <w:rsid w:val="003A5961"/>
    <w:rsid w:val="003A6E02"/>
    <w:rsid w:val="003B171B"/>
    <w:rsid w:val="003B29A5"/>
    <w:rsid w:val="003B2F3A"/>
    <w:rsid w:val="003B3C18"/>
    <w:rsid w:val="003B541A"/>
    <w:rsid w:val="003B6370"/>
    <w:rsid w:val="003B6D5C"/>
    <w:rsid w:val="003B71D4"/>
    <w:rsid w:val="003C09EA"/>
    <w:rsid w:val="003C2408"/>
    <w:rsid w:val="003C2C20"/>
    <w:rsid w:val="003C4B9A"/>
    <w:rsid w:val="003C7DA1"/>
    <w:rsid w:val="003D0A9B"/>
    <w:rsid w:val="003D23B0"/>
    <w:rsid w:val="003D41F3"/>
    <w:rsid w:val="003D6710"/>
    <w:rsid w:val="003E1E9B"/>
    <w:rsid w:val="003E290F"/>
    <w:rsid w:val="003E3093"/>
    <w:rsid w:val="003E4314"/>
    <w:rsid w:val="003E6D76"/>
    <w:rsid w:val="003E7FFE"/>
    <w:rsid w:val="003F1378"/>
    <w:rsid w:val="003F431E"/>
    <w:rsid w:val="003F4E62"/>
    <w:rsid w:val="003F7007"/>
    <w:rsid w:val="003F72BD"/>
    <w:rsid w:val="00400C64"/>
    <w:rsid w:val="00404C23"/>
    <w:rsid w:val="00406E7D"/>
    <w:rsid w:val="004121BF"/>
    <w:rsid w:val="00413EFF"/>
    <w:rsid w:val="00414E20"/>
    <w:rsid w:val="00417CA3"/>
    <w:rsid w:val="00420544"/>
    <w:rsid w:val="004208D3"/>
    <w:rsid w:val="0042137E"/>
    <w:rsid w:val="00425155"/>
    <w:rsid w:val="00425707"/>
    <w:rsid w:val="0042670F"/>
    <w:rsid w:val="00426EFD"/>
    <w:rsid w:val="00427C0C"/>
    <w:rsid w:val="00430207"/>
    <w:rsid w:val="00430ABC"/>
    <w:rsid w:val="004315FA"/>
    <w:rsid w:val="00433E2C"/>
    <w:rsid w:val="00436A4B"/>
    <w:rsid w:val="00444A3A"/>
    <w:rsid w:val="004463EB"/>
    <w:rsid w:val="00446F40"/>
    <w:rsid w:val="00451158"/>
    <w:rsid w:val="0045193E"/>
    <w:rsid w:val="0045218F"/>
    <w:rsid w:val="00455F48"/>
    <w:rsid w:val="00465DB5"/>
    <w:rsid w:val="004733EF"/>
    <w:rsid w:val="00482636"/>
    <w:rsid w:val="004837E7"/>
    <w:rsid w:val="00483958"/>
    <w:rsid w:val="004852B0"/>
    <w:rsid w:val="004923B7"/>
    <w:rsid w:val="00497639"/>
    <w:rsid w:val="004A2A0A"/>
    <w:rsid w:val="004A5D1B"/>
    <w:rsid w:val="004A7C0D"/>
    <w:rsid w:val="004B1155"/>
    <w:rsid w:val="004B3243"/>
    <w:rsid w:val="004B4E19"/>
    <w:rsid w:val="004B6C20"/>
    <w:rsid w:val="004C0563"/>
    <w:rsid w:val="004C1184"/>
    <w:rsid w:val="004C18D1"/>
    <w:rsid w:val="004C74AC"/>
    <w:rsid w:val="004D088E"/>
    <w:rsid w:val="004D2C6D"/>
    <w:rsid w:val="004D3766"/>
    <w:rsid w:val="004D5FF0"/>
    <w:rsid w:val="004E051A"/>
    <w:rsid w:val="004E1DBA"/>
    <w:rsid w:val="004E354D"/>
    <w:rsid w:val="004E447F"/>
    <w:rsid w:val="004E71F9"/>
    <w:rsid w:val="00501619"/>
    <w:rsid w:val="00510A50"/>
    <w:rsid w:val="005136C5"/>
    <w:rsid w:val="00515EC7"/>
    <w:rsid w:val="00516692"/>
    <w:rsid w:val="00516994"/>
    <w:rsid w:val="00520996"/>
    <w:rsid w:val="00521834"/>
    <w:rsid w:val="0052574C"/>
    <w:rsid w:val="00530000"/>
    <w:rsid w:val="00532519"/>
    <w:rsid w:val="005331E5"/>
    <w:rsid w:val="00537266"/>
    <w:rsid w:val="0053793C"/>
    <w:rsid w:val="005410F9"/>
    <w:rsid w:val="005416E8"/>
    <w:rsid w:val="00542632"/>
    <w:rsid w:val="00542E5F"/>
    <w:rsid w:val="00543EF5"/>
    <w:rsid w:val="0054439C"/>
    <w:rsid w:val="0054450B"/>
    <w:rsid w:val="005465CD"/>
    <w:rsid w:val="005501B4"/>
    <w:rsid w:val="005646B3"/>
    <w:rsid w:val="00570511"/>
    <w:rsid w:val="00571F77"/>
    <w:rsid w:val="00580403"/>
    <w:rsid w:val="00584A1C"/>
    <w:rsid w:val="00585CD8"/>
    <w:rsid w:val="005864F8"/>
    <w:rsid w:val="00592D2F"/>
    <w:rsid w:val="00593A70"/>
    <w:rsid w:val="005959DC"/>
    <w:rsid w:val="005963C5"/>
    <w:rsid w:val="00596EAE"/>
    <w:rsid w:val="005A5073"/>
    <w:rsid w:val="005A510D"/>
    <w:rsid w:val="005A5F62"/>
    <w:rsid w:val="005A7C02"/>
    <w:rsid w:val="005B2A27"/>
    <w:rsid w:val="005C2A6E"/>
    <w:rsid w:val="005C31F7"/>
    <w:rsid w:val="005C3C4F"/>
    <w:rsid w:val="005D0ADE"/>
    <w:rsid w:val="005D2923"/>
    <w:rsid w:val="005D6C2A"/>
    <w:rsid w:val="005D7DA7"/>
    <w:rsid w:val="005E58B7"/>
    <w:rsid w:val="005E5EA2"/>
    <w:rsid w:val="005F14B2"/>
    <w:rsid w:val="005F1878"/>
    <w:rsid w:val="005F345A"/>
    <w:rsid w:val="005F34A6"/>
    <w:rsid w:val="005F5675"/>
    <w:rsid w:val="005F5F00"/>
    <w:rsid w:val="005F645A"/>
    <w:rsid w:val="005F76EB"/>
    <w:rsid w:val="00603A4B"/>
    <w:rsid w:val="00604F81"/>
    <w:rsid w:val="00615D45"/>
    <w:rsid w:val="006162E2"/>
    <w:rsid w:val="006171C0"/>
    <w:rsid w:val="00620829"/>
    <w:rsid w:val="006235CF"/>
    <w:rsid w:val="00630106"/>
    <w:rsid w:val="00633F18"/>
    <w:rsid w:val="00637589"/>
    <w:rsid w:val="00645E77"/>
    <w:rsid w:val="0065060C"/>
    <w:rsid w:val="00651697"/>
    <w:rsid w:val="00657106"/>
    <w:rsid w:val="00657FFE"/>
    <w:rsid w:val="00660113"/>
    <w:rsid w:val="0066205D"/>
    <w:rsid w:val="0066267C"/>
    <w:rsid w:val="006631EA"/>
    <w:rsid w:val="00665174"/>
    <w:rsid w:val="006655D2"/>
    <w:rsid w:val="00670F19"/>
    <w:rsid w:val="0067358E"/>
    <w:rsid w:val="006764D9"/>
    <w:rsid w:val="00680487"/>
    <w:rsid w:val="00691C8A"/>
    <w:rsid w:val="00692336"/>
    <w:rsid w:val="00693799"/>
    <w:rsid w:val="0069714E"/>
    <w:rsid w:val="006A16C4"/>
    <w:rsid w:val="006A20E3"/>
    <w:rsid w:val="006A5197"/>
    <w:rsid w:val="006A7C40"/>
    <w:rsid w:val="006B0A01"/>
    <w:rsid w:val="006B3120"/>
    <w:rsid w:val="006B6DA9"/>
    <w:rsid w:val="006B7893"/>
    <w:rsid w:val="006C2C60"/>
    <w:rsid w:val="006C3939"/>
    <w:rsid w:val="006C3D45"/>
    <w:rsid w:val="006C505B"/>
    <w:rsid w:val="006D3495"/>
    <w:rsid w:val="006D4E75"/>
    <w:rsid w:val="006D6426"/>
    <w:rsid w:val="006E0379"/>
    <w:rsid w:val="006E079D"/>
    <w:rsid w:val="006E1EFB"/>
    <w:rsid w:val="006E28F2"/>
    <w:rsid w:val="006E3021"/>
    <w:rsid w:val="006E3A83"/>
    <w:rsid w:val="006E5514"/>
    <w:rsid w:val="006E785B"/>
    <w:rsid w:val="006F038E"/>
    <w:rsid w:val="006F17AF"/>
    <w:rsid w:val="006F2477"/>
    <w:rsid w:val="006F3818"/>
    <w:rsid w:val="006F601A"/>
    <w:rsid w:val="006F60A0"/>
    <w:rsid w:val="006F6462"/>
    <w:rsid w:val="006F76ED"/>
    <w:rsid w:val="00703837"/>
    <w:rsid w:val="00703CEA"/>
    <w:rsid w:val="00710CB4"/>
    <w:rsid w:val="0071268F"/>
    <w:rsid w:val="00713B48"/>
    <w:rsid w:val="00714C2B"/>
    <w:rsid w:val="0071546D"/>
    <w:rsid w:val="00715F75"/>
    <w:rsid w:val="00717F06"/>
    <w:rsid w:val="00721F9B"/>
    <w:rsid w:val="007228A2"/>
    <w:rsid w:val="0072499F"/>
    <w:rsid w:val="007255F7"/>
    <w:rsid w:val="00726276"/>
    <w:rsid w:val="00730D97"/>
    <w:rsid w:val="007337D0"/>
    <w:rsid w:val="00734270"/>
    <w:rsid w:val="00735551"/>
    <w:rsid w:val="00736094"/>
    <w:rsid w:val="00736D5C"/>
    <w:rsid w:val="00741807"/>
    <w:rsid w:val="0074485B"/>
    <w:rsid w:val="007467C3"/>
    <w:rsid w:val="00747654"/>
    <w:rsid w:val="00752B15"/>
    <w:rsid w:val="00756B11"/>
    <w:rsid w:val="00756E12"/>
    <w:rsid w:val="00761953"/>
    <w:rsid w:val="00763FA9"/>
    <w:rsid w:val="007659D7"/>
    <w:rsid w:val="00772505"/>
    <w:rsid w:val="00783871"/>
    <w:rsid w:val="007869B2"/>
    <w:rsid w:val="00791A34"/>
    <w:rsid w:val="00792409"/>
    <w:rsid w:val="00792620"/>
    <w:rsid w:val="0079304C"/>
    <w:rsid w:val="00795E95"/>
    <w:rsid w:val="007A0FB5"/>
    <w:rsid w:val="007A3A41"/>
    <w:rsid w:val="007A55F2"/>
    <w:rsid w:val="007A7CD6"/>
    <w:rsid w:val="007A7F7C"/>
    <w:rsid w:val="007B105C"/>
    <w:rsid w:val="007B202A"/>
    <w:rsid w:val="007B268A"/>
    <w:rsid w:val="007B2812"/>
    <w:rsid w:val="007B6886"/>
    <w:rsid w:val="007C2C03"/>
    <w:rsid w:val="007C4885"/>
    <w:rsid w:val="007C6C2C"/>
    <w:rsid w:val="007D18DF"/>
    <w:rsid w:val="007D214F"/>
    <w:rsid w:val="007D2F57"/>
    <w:rsid w:val="007D3C49"/>
    <w:rsid w:val="007E1585"/>
    <w:rsid w:val="007E3706"/>
    <w:rsid w:val="007E7FD3"/>
    <w:rsid w:val="007F097B"/>
    <w:rsid w:val="007F0F29"/>
    <w:rsid w:val="007F2AF5"/>
    <w:rsid w:val="007F477D"/>
    <w:rsid w:val="007F55B0"/>
    <w:rsid w:val="00801D6F"/>
    <w:rsid w:val="0080753D"/>
    <w:rsid w:val="00810426"/>
    <w:rsid w:val="0081054D"/>
    <w:rsid w:val="00811D95"/>
    <w:rsid w:val="00815CA6"/>
    <w:rsid w:val="0081722E"/>
    <w:rsid w:val="00817748"/>
    <w:rsid w:val="00817BC6"/>
    <w:rsid w:val="0082200E"/>
    <w:rsid w:val="00823F2B"/>
    <w:rsid w:val="00836313"/>
    <w:rsid w:val="00836D53"/>
    <w:rsid w:val="00844BC7"/>
    <w:rsid w:val="008470D1"/>
    <w:rsid w:val="00847333"/>
    <w:rsid w:val="00850BDA"/>
    <w:rsid w:val="00853616"/>
    <w:rsid w:val="00855D10"/>
    <w:rsid w:val="008571C7"/>
    <w:rsid w:val="00857538"/>
    <w:rsid w:val="0086379E"/>
    <w:rsid w:val="00863CA4"/>
    <w:rsid w:val="008654BD"/>
    <w:rsid w:val="00866CA9"/>
    <w:rsid w:val="00867958"/>
    <w:rsid w:val="0087009A"/>
    <w:rsid w:val="00871DC9"/>
    <w:rsid w:val="00873DC2"/>
    <w:rsid w:val="00874555"/>
    <w:rsid w:val="008753B5"/>
    <w:rsid w:val="008756EB"/>
    <w:rsid w:val="008819D0"/>
    <w:rsid w:val="00881AD0"/>
    <w:rsid w:val="00895513"/>
    <w:rsid w:val="00895C57"/>
    <w:rsid w:val="008A5D0A"/>
    <w:rsid w:val="008A6DF2"/>
    <w:rsid w:val="008B077F"/>
    <w:rsid w:val="008B2C26"/>
    <w:rsid w:val="008B6613"/>
    <w:rsid w:val="008C35C0"/>
    <w:rsid w:val="008C7708"/>
    <w:rsid w:val="008D0E5E"/>
    <w:rsid w:val="008D124A"/>
    <w:rsid w:val="008D29D9"/>
    <w:rsid w:val="008D3EA1"/>
    <w:rsid w:val="008D72D8"/>
    <w:rsid w:val="008E0351"/>
    <w:rsid w:val="008F4843"/>
    <w:rsid w:val="008F5AF1"/>
    <w:rsid w:val="008F72EE"/>
    <w:rsid w:val="00902D99"/>
    <w:rsid w:val="00904065"/>
    <w:rsid w:val="00905C96"/>
    <w:rsid w:val="00906995"/>
    <w:rsid w:val="00906BD5"/>
    <w:rsid w:val="00911744"/>
    <w:rsid w:val="00911FCA"/>
    <w:rsid w:val="00912C50"/>
    <w:rsid w:val="00913995"/>
    <w:rsid w:val="009207AF"/>
    <w:rsid w:val="00926ADF"/>
    <w:rsid w:val="00926FD5"/>
    <w:rsid w:val="00926FE9"/>
    <w:rsid w:val="0093314B"/>
    <w:rsid w:val="009345D3"/>
    <w:rsid w:val="009371B4"/>
    <w:rsid w:val="00937633"/>
    <w:rsid w:val="009414FE"/>
    <w:rsid w:val="00941FFE"/>
    <w:rsid w:val="00942584"/>
    <w:rsid w:val="009448F4"/>
    <w:rsid w:val="00950C34"/>
    <w:rsid w:val="00953ECF"/>
    <w:rsid w:val="00955016"/>
    <w:rsid w:val="00955CE6"/>
    <w:rsid w:val="00956D2F"/>
    <w:rsid w:val="0096474E"/>
    <w:rsid w:val="009720B6"/>
    <w:rsid w:val="00974755"/>
    <w:rsid w:val="00974A69"/>
    <w:rsid w:val="00976960"/>
    <w:rsid w:val="00977C59"/>
    <w:rsid w:val="00980C82"/>
    <w:rsid w:val="0098241B"/>
    <w:rsid w:val="0098285F"/>
    <w:rsid w:val="009850A3"/>
    <w:rsid w:val="00985527"/>
    <w:rsid w:val="00986DBA"/>
    <w:rsid w:val="00991E2A"/>
    <w:rsid w:val="0099353C"/>
    <w:rsid w:val="009A34CC"/>
    <w:rsid w:val="009B0781"/>
    <w:rsid w:val="009B20E0"/>
    <w:rsid w:val="009B386F"/>
    <w:rsid w:val="009B51A6"/>
    <w:rsid w:val="009C0615"/>
    <w:rsid w:val="009C0C55"/>
    <w:rsid w:val="009C56B2"/>
    <w:rsid w:val="009D079C"/>
    <w:rsid w:val="009D0C9E"/>
    <w:rsid w:val="009D0F4E"/>
    <w:rsid w:val="009D2E2B"/>
    <w:rsid w:val="009D63F8"/>
    <w:rsid w:val="009E1609"/>
    <w:rsid w:val="009E331C"/>
    <w:rsid w:val="009E4BA4"/>
    <w:rsid w:val="009E6EFB"/>
    <w:rsid w:val="009E7131"/>
    <w:rsid w:val="009F082A"/>
    <w:rsid w:val="009F17D5"/>
    <w:rsid w:val="009F2ADC"/>
    <w:rsid w:val="009F48CD"/>
    <w:rsid w:val="00A049D8"/>
    <w:rsid w:val="00A07D34"/>
    <w:rsid w:val="00A12839"/>
    <w:rsid w:val="00A1373E"/>
    <w:rsid w:val="00A16D42"/>
    <w:rsid w:val="00A175D9"/>
    <w:rsid w:val="00A178BF"/>
    <w:rsid w:val="00A2118D"/>
    <w:rsid w:val="00A24DE0"/>
    <w:rsid w:val="00A31C63"/>
    <w:rsid w:val="00A338ED"/>
    <w:rsid w:val="00A34A99"/>
    <w:rsid w:val="00A35786"/>
    <w:rsid w:val="00A44A14"/>
    <w:rsid w:val="00A465A1"/>
    <w:rsid w:val="00A52DF4"/>
    <w:rsid w:val="00A53D03"/>
    <w:rsid w:val="00A551D6"/>
    <w:rsid w:val="00A5764A"/>
    <w:rsid w:val="00A62C9C"/>
    <w:rsid w:val="00A63AEC"/>
    <w:rsid w:val="00A65C04"/>
    <w:rsid w:val="00A6652B"/>
    <w:rsid w:val="00A66743"/>
    <w:rsid w:val="00A71A16"/>
    <w:rsid w:val="00A71B79"/>
    <w:rsid w:val="00A71E44"/>
    <w:rsid w:val="00A72B3E"/>
    <w:rsid w:val="00A774EA"/>
    <w:rsid w:val="00A8788F"/>
    <w:rsid w:val="00A970A9"/>
    <w:rsid w:val="00A97498"/>
    <w:rsid w:val="00AA3481"/>
    <w:rsid w:val="00AA66E3"/>
    <w:rsid w:val="00AB2FB3"/>
    <w:rsid w:val="00AB3DC8"/>
    <w:rsid w:val="00AB7928"/>
    <w:rsid w:val="00AC0402"/>
    <w:rsid w:val="00AC07A2"/>
    <w:rsid w:val="00AC0C64"/>
    <w:rsid w:val="00AC13CE"/>
    <w:rsid w:val="00AC1FC9"/>
    <w:rsid w:val="00AC3915"/>
    <w:rsid w:val="00AC4F9E"/>
    <w:rsid w:val="00AD2969"/>
    <w:rsid w:val="00AD54EA"/>
    <w:rsid w:val="00AD699B"/>
    <w:rsid w:val="00AD711E"/>
    <w:rsid w:val="00AD7DF5"/>
    <w:rsid w:val="00AE0330"/>
    <w:rsid w:val="00AE22F4"/>
    <w:rsid w:val="00AE2F5E"/>
    <w:rsid w:val="00AF15C3"/>
    <w:rsid w:val="00AF1EC3"/>
    <w:rsid w:val="00AF4571"/>
    <w:rsid w:val="00B01FD6"/>
    <w:rsid w:val="00B03378"/>
    <w:rsid w:val="00B115F3"/>
    <w:rsid w:val="00B140BD"/>
    <w:rsid w:val="00B14649"/>
    <w:rsid w:val="00B16CAB"/>
    <w:rsid w:val="00B16D29"/>
    <w:rsid w:val="00B20C44"/>
    <w:rsid w:val="00B20D2D"/>
    <w:rsid w:val="00B22FBD"/>
    <w:rsid w:val="00B238E0"/>
    <w:rsid w:val="00B24AE3"/>
    <w:rsid w:val="00B2544E"/>
    <w:rsid w:val="00B27AB4"/>
    <w:rsid w:val="00B303AC"/>
    <w:rsid w:val="00B30F84"/>
    <w:rsid w:val="00B31206"/>
    <w:rsid w:val="00B325D7"/>
    <w:rsid w:val="00B375EB"/>
    <w:rsid w:val="00B405C0"/>
    <w:rsid w:val="00B4200D"/>
    <w:rsid w:val="00B456C0"/>
    <w:rsid w:val="00B47BBC"/>
    <w:rsid w:val="00B53031"/>
    <w:rsid w:val="00B5471E"/>
    <w:rsid w:val="00B56C99"/>
    <w:rsid w:val="00B57586"/>
    <w:rsid w:val="00B60564"/>
    <w:rsid w:val="00B60691"/>
    <w:rsid w:val="00B61EC8"/>
    <w:rsid w:val="00B6771D"/>
    <w:rsid w:val="00B67761"/>
    <w:rsid w:val="00B67D4A"/>
    <w:rsid w:val="00B73257"/>
    <w:rsid w:val="00B73B3A"/>
    <w:rsid w:val="00B742C2"/>
    <w:rsid w:val="00B74F22"/>
    <w:rsid w:val="00B759E7"/>
    <w:rsid w:val="00B76E22"/>
    <w:rsid w:val="00B779BC"/>
    <w:rsid w:val="00B80055"/>
    <w:rsid w:val="00B825D5"/>
    <w:rsid w:val="00B85279"/>
    <w:rsid w:val="00B86E5A"/>
    <w:rsid w:val="00B93181"/>
    <w:rsid w:val="00B94906"/>
    <w:rsid w:val="00B97D2D"/>
    <w:rsid w:val="00BA5AEF"/>
    <w:rsid w:val="00BA6118"/>
    <w:rsid w:val="00BA7186"/>
    <w:rsid w:val="00BB1EFD"/>
    <w:rsid w:val="00BC28E3"/>
    <w:rsid w:val="00BC6173"/>
    <w:rsid w:val="00BC7FC3"/>
    <w:rsid w:val="00BD00E0"/>
    <w:rsid w:val="00BD0203"/>
    <w:rsid w:val="00BD17EA"/>
    <w:rsid w:val="00BD4604"/>
    <w:rsid w:val="00BD4CA3"/>
    <w:rsid w:val="00BD4E9C"/>
    <w:rsid w:val="00BD539D"/>
    <w:rsid w:val="00BE2BB8"/>
    <w:rsid w:val="00BE4D31"/>
    <w:rsid w:val="00BE4FF8"/>
    <w:rsid w:val="00BE5ABD"/>
    <w:rsid w:val="00BF0DDE"/>
    <w:rsid w:val="00BF572E"/>
    <w:rsid w:val="00C045AD"/>
    <w:rsid w:val="00C07B5B"/>
    <w:rsid w:val="00C11EAC"/>
    <w:rsid w:val="00C132E1"/>
    <w:rsid w:val="00C26F1D"/>
    <w:rsid w:val="00C275D2"/>
    <w:rsid w:val="00C338C5"/>
    <w:rsid w:val="00C36293"/>
    <w:rsid w:val="00C37A57"/>
    <w:rsid w:val="00C41B71"/>
    <w:rsid w:val="00C4374F"/>
    <w:rsid w:val="00C445A7"/>
    <w:rsid w:val="00C461C0"/>
    <w:rsid w:val="00C50C03"/>
    <w:rsid w:val="00C515B7"/>
    <w:rsid w:val="00C52663"/>
    <w:rsid w:val="00C557CC"/>
    <w:rsid w:val="00C57C8A"/>
    <w:rsid w:val="00C6034D"/>
    <w:rsid w:val="00C60550"/>
    <w:rsid w:val="00C640D7"/>
    <w:rsid w:val="00C6620B"/>
    <w:rsid w:val="00C71248"/>
    <w:rsid w:val="00C75904"/>
    <w:rsid w:val="00C77C01"/>
    <w:rsid w:val="00C82556"/>
    <w:rsid w:val="00C85313"/>
    <w:rsid w:val="00C90F50"/>
    <w:rsid w:val="00C91721"/>
    <w:rsid w:val="00C918B0"/>
    <w:rsid w:val="00C929B0"/>
    <w:rsid w:val="00C92F35"/>
    <w:rsid w:val="00C9310F"/>
    <w:rsid w:val="00CA499A"/>
    <w:rsid w:val="00CA609F"/>
    <w:rsid w:val="00CA6137"/>
    <w:rsid w:val="00CA6440"/>
    <w:rsid w:val="00CB0C52"/>
    <w:rsid w:val="00CB3121"/>
    <w:rsid w:val="00CB440E"/>
    <w:rsid w:val="00CB736D"/>
    <w:rsid w:val="00CC1FEE"/>
    <w:rsid w:val="00CC23F0"/>
    <w:rsid w:val="00CC2C5C"/>
    <w:rsid w:val="00CC33BB"/>
    <w:rsid w:val="00CC3492"/>
    <w:rsid w:val="00CC3BCE"/>
    <w:rsid w:val="00CC49B9"/>
    <w:rsid w:val="00CC6A1B"/>
    <w:rsid w:val="00CD1A0A"/>
    <w:rsid w:val="00CD23E2"/>
    <w:rsid w:val="00CD2F15"/>
    <w:rsid w:val="00CD5F73"/>
    <w:rsid w:val="00CD6BED"/>
    <w:rsid w:val="00CD7ADF"/>
    <w:rsid w:val="00CE4C01"/>
    <w:rsid w:val="00CE6775"/>
    <w:rsid w:val="00CF01EE"/>
    <w:rsid w:val="00CF0814"/>
    <w:rsid w:val="00CF160E"/>
    <w:rsid w:val="00CF2600"/>
    <w:rsid w:val="00CF62F9"/>
    <w:rsid w:val="00CF7179"/>
    <w:rsid w:val="00CF7DFD"/>
    <w:rsid w:val="00D00ADA"/>
    <w:rsid w:val="00D00FEB"/>
    <w:rsid w:val="00D0166F"/>
    <w:rsid w:val="00D01B2B"/>
    <w:rsid w:val="00D03DA1"/>
    <w:rsid w:val="00D0488D"/>
    <w:rsid w:val="00D16D27"/>
    <w:rsid w:val="00D17E85"/>
    <w:rsid w:val="00D2059F"/>
    <w:rsid w:val="00D267DE"/>
    <w:rsid w:val="00D271F6"/>
    <w:rsid w:val="00D352FE"/>
    <w:rsid w:val="00D36A34"/>
    <w:rsid w:val="00D3731E"/>
    <w:rsid w:val="00D4105D"/>
    <w:rsid w:val="00D43889"/>
    <w:rsid w:val="00D449EF"/>
    <w:rsid w:val="00D46DDB"/>
    <w:rsid w:val="00D47F0D"/>
    <w:rsid w:val="00D50316"/>
    <w:rsid w:val="00D51E0A"/>
    <w:rsid w:val="00D527C2"/>
    <w:rsid w:val="00D625CD"/>
    <w:rsid w:val="00D673C7"/>
    <w:rsid w:val="00D709E0"/>
    <w:rsid w:val="00D74F59"/>
    <w:rsid w:val="00D76850"/>
    <w:rsid w:val="00D900FC"/>
    <w:rsid w:val="00D90153"/>
    <w:rsid w:val="00D9161B"/>
    <w:rsid w:val="00D929E9"/>
    <w:rsid w:val="00D97EA9"/>
    <w:rsid w:val="00DA0B02"/>
    <w:rsid w:val="00DA0BA9"/>
    <w:rsid w:val="00DA0E2A"/>
    <w:rsid w:val="00DA2558"/>
    <w:rsid w:val="00DA6512"/>
    <w:rsid w:val="00DB1335"/>
    <w:rsid w:val="00DB27B0"/>
    <w:rsid w:val="00DB4068"/>
    <w:rsid w:val="00DB4EF5"/>
    <w:rsid w:val="00DB5A08"/>
    <w:rsid w:val="00DC105A"/>
    <w:rsid w:val="00DC1E30"/>
    <w:rsid w:val="00DC2E91"/>
    <w:rsid w:val="00DC5129"/>
    <w:rsid w:val="00DC734B"/>
    <w:rsid w:val="00DD1EDD"/>
    <w:rsid w:val="00DD68F6"/>
    <w:rsid w:val="00DE0120"/>
    <w:rsid w:val="00DE0599"/>
    <w:rsid w:val="00DE0A1B"/>
    <w:rsid w:val="00DE312F"/>
    <w:rsid w:val="00DE386A"/>
    <w:rsid w:val="00DE4551"/>
    <w:rsid w:val="00DE70C8"/>
    <w:rsid w:val="00DF0EF7"/>
    <w:rsid w:val="00DF4743"/>
    <w:rsid w:val="00DF50FE"/>
    <w:rsid w:val="00E00BC5"/>
    <w:rsid w:val="00E018BB"/>
    <w:rsid w:val="00E06713"/>
    <w:rsid w:val="00E10195"/>
    <w:rsid w:val="00E10ACF"/>
    <w:rsid w:val="00E12F6E"/>
    <w:rsid w:val="00E14508"/>
    <w:rsid w:val="00E15303"/>
    <w:rsid w:val="00E218EB"/>
    <w:rsid w:val="00E226F0"/>
    <w:rsid w:val="00E2341F"/>
    <w:rsid w:val="00E300CA"/>
    <w:rsid w:val="00E3308B"/>
    <w:rsid w:val="00E349E9"/>
    <w:rsid w:val="00E35F34"/>
    <w:rsid w:val="00E362FE"/>
    <w:rsid w:val="00E36733"/>
    <w:rsid w:val="00E36CF4"/>
    <w:rsid w:val="00E37347"/>
    <w:rsid w:val="00E553B8"/>
    <w:rsid w:val="00E6022C"/>
    <w:rsid w:val="00E60708"/>
    <w:rsid w:val="00E61E1B"/>
    <w:rsid w:val="00E651A3"/>
    <w:rsid w:val="00E66C2A"/>
    <w:rsid w:val="00E70FCB"/>
    <w:rsid w:val="00E712FC"/>
    <w:rsid w:val="00E73A72"/>
    <w:rsid w:val="00E80F0C"/>
    <w:rsid w:val="00E81929"/>
    <w:rsid w:val="00E81B7A"/>
    <w:rsid w:val="00E83522"/>
    <w:rsid w:val="00E83DF5"/>
    <w:rsid w:val="00E85E67"/>
    <w:rsid w:val="00E9672F"/>
    <w:rsid w:val="00E97CF2"/>
    <w:rsid w:val="00EA0718"/>
    <w:rsid w:val="00EA663A"/>
    <w:rsid w:val="00EA774D"/>
    <w:rsid w:val="00EB6D31"/>
    <w:rsid w:val="00EC02F9"/>
    <w:rsid w:val="00ED3865"/>
    <w:rsid w:val="00EE2101"/>
    <w:rsid w:val="00EE49A7"/>
    <w:rsid w:val="00EE6D8D"/>
    <w:rsid w:val="00EE7981"/>
    <w:rsid w:val="00EF6543"/>
    <w:rsid w:val="00F0426B"/>
    <w:rsid w:val="00F065AC"/>
    <w:rsid w:val="00F13843"/>
    <w:rsid w:val="00F159CA"/>
    <w:rsid w:val="00F23D60"/>
    <w:rsid w:val="00F25596"/>
    <w:rsid w:val="00F30B61"/>
    <w:rsid w:val="00F341A2"/>
    <w:rsid w:val="00F377CA"/>
    <w:rsid w:val="00F50325"/>
    <w:rsid w:val="00F6477B"/>
    <w:rsid w:val="00F667B3"/>
    <w:rsid w:val="00F66B4B"/>
    <w:rsid w:val="00F67388"/>
    <w:rsid w:val="00F7062D"/>
    <w:rsid w:val="00F7115D"/>
    <w:rsid w:val="00F717F1"/>
    <w:rsid w:val="00F720EA"/>
    <w:rsid w:val="00F762C4"/>
    <w:rsid w:val="00F80482"/>
    <w:rsid w:val="00F81CAB"/>
    <w:rsid w:val="00F8739E"/>
    <w:rsid w:val="00F87C80"/>
    <w:rsid w:val="00F90B17"/>
    <w:rsid w:val="00F912DB"/>
    <w:rsid w:val="00F91AE1"/>
    <w:rsid w:val="00F97591"/>
    <w:rsid w:val="00FA5861"/>
    <w:rsid w:val="00FA62F3"/>
    <w:rsid w:val="00FA68BD"/>
    <w:rsid w:val="00FA6A14"/>
    <w:rsid w:val="00FA6CEF"/>
    <w:rsid w:val="00FB0B0C"/>
    <w:rsid w:val="00FB12DA"/>
    <w:rsid w:val="00FB1988"/>
    <w:rsid w:val="00FB3834"/>
    <w:rsid w:val="00FB3F84"/>
    <w:rsid w:val="00FC5D71"/>
    <w:rsid w:val="00FD04AE"/>
    <w:rsid w:val="00FD097A"/>
    <w:rsid w:val="00FD3613"/>
    <w:rsid w:val="00FD3B92"/>
    <w:rsid w:val="00FD58B7"/>
    <w:rsid w:val="00FD6919"/>
    <w:rsid w:val="00FD6F04"/>
    <w:rsid w:val="00FE4CB2"/>
    <w:rsid w:val="00FE55C5"/>
    <w:rsid w:val="00FE5D5F"/>
    <w:rsid w:val="00FF159C"/>
    <w:rsid w:val="00FF28A7"/>
    <w:rsid w:val="00FF429A"/>
    <w:rsid w:val="00FF6AC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F7DD"/>
  <w15:chartTrackingRefBased/>
  <w15:docId w15:val="{E05C1BE1-2EE6-455F-A6DC-D71801B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B077F"/>
    <w:pPr>
      <w:keepNext/>
      <w:spacing w:after="0" w:line="240" w:lineRule="auto"/>
      <w:jc w:val="both"/>
      <w:outlineLvl w:val="0"/>
    </w:pPr>
    <w:rPr>
      <w:rFonts w:ascii="Times New Roman" w:eastAsia="Times New Roman" w:hAnsi="Times New Roman" w:cs="Times New Roman"/>
      <w:b/>
      <w:snapToGrid w:val="0"/>
      <w:sz w:val="24"/>
      <w:szCs w:val="20"/>
      <w:u w:val="single"/>
    </w:rPr>
  </w:style>
  <w:style w:type="paragraph" w:styleId="Heading2">
    <w:name w:val="heading 2"/>
    <w:basedOn w:val="Normal"/>
    <w:next w:val="Normal"/>
    <w:link w:val="Heading2Char"/>
    <w:qFormat/>
    <w:rsid w:val="008B077F"/>
    <w:pPr>
      <w:keepNext/>
      <w:spacing w:after="0" w:line="240" w:lineRule="auto"/>
      <w:ind w:left="720"/>
      <w:outlineLvl w:val="1"/>
    </w:pPr>
    <w:rPr>
      <w:rFonts w:ascii="Times New Roman" w:eastAsia="Times New Roman" w:hAnsi="Times New Roman" w:cs="Times New Roman"/>
      <w:snapToGrid w:val="0"/>
      <w:sz w:val="28"/>
      <w:szCs w:val="20"/>
    </w:rPr>
  </w:style>
  <w:style w:type="paragraph" w:styleId="Heading3">
    <w:name w:val="heading 3"/>
    <w:basedOn w:val="Normal"/>
    <w:next w:val="Normal"/>
    <w:link w:val="Heading3Char"/>
    <w:qFormat/>
    <w:rsid w:val="008B077F"/>
    <w:pPr>
      <w:keepNext/>
      <w:spacing w:after="0" w:line="240" w:lineRule="auto"/>
      <w:jc w:val="center"/>
      <w:outlineLvl w:val="2"/>
    </w:pPr>
    <w:rPr>
      <w:rFonts w:ascii="Times New Roman" w:eastAsia="Times New Roman" w:hAnsi="Times New Roman" w:cs="Times New Roman"/>
      <w:b/>
      <w:bCs/>
      <w:snapToGrid w:val="0"/>
      <w:sz w:val="25"/>
      <w:szCs w:val="26"/>
      <w:u w:val="single"/>
    </w:rPr>
  </w:style>
  <w:style w:type="paragraph" w:styleId="Heading7">
    <w:name w:val="heading 7"/>
    <w:basedOn w:val="Normal"/>
    <w:next w:val="Normal"/>
    <w:link w:val="Heading7Char"/>
    <w:qFormat/>
    <w:rsid w:val="008B077F"/>
    <w:pPr>
      <w:spacing w:before="240" w:after="60" w:line="240" w:lineRule="auto"/>
      <w:outlineLvl w:val="6"/>
    </w:pPr>
    <w:rPr>
      <w:rFonts w:ascii="Times New Roman" w:eastAsia="Times New Roman" w:hAnsi="Times New Roman"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843"/>
    <w:pPr>
      <w:ind w:left="720"/>
      <w:contextualSpacing/>
    </w:pPr>
  </w:style>
  <w:style w:type="paragraph" w:customStyle="1" w:styleId="style4">
    <w:name w:val="style4"/>
    <w:basedOn w:val="Normal"/>
    <w:rsid w:val="003923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3F4"/>
    <w:rPr>
      <w:b/>
      <w:bCs/>
    </w:rPr>
  </w:style>
  <w:style w:type="character" w:styleId="Hyperlink">
    <w:name w:val="Hyperlink"/>
    <w:basedOn w:val="DefaultParagraphFont"/>
    <w:uiPriority w:val="99"/>
    <w:unhideWhenUsed/>
    <w:rsid w:val="001F2068"/>
    <w:rPr>
      <w:color w:val="0563C1" w:themeColor="hyperlink"/>
      <w:u w:val="single"/>
    </w:rPr>
  </w:style>
  <w:style w:type="character" w:styleId="UnresolvedMention">
    <w:name w:val="Unresolved Mention"/>
    <w:basedOn w:val="DefaultParagraphFont"/>
    <w:uiPriority w:val="99"/>
    <w:semiHidden/>
    <w:unhideWhenUsed/>
    <w:rsid w:val="001F2068"/>
    <w:rPr>
      <w:color w:val="605E5C"/>
      <w:shd w:val="clear" w:color="auto" w:fill="E1DFDD"/>
    </w:rPr>
  </w:style>
  <w:style w:type="paragraph" w:styleId="FootnoteText">
    <w:name w:val="footnote text"/>
    <w:basedOn w:val="Normal"/>
    <w:link w:val="FootnoteTextChar"/>
    <w:uiPriority w:val="99"/>
    <w:semiHidden/>
    <w:unhideWhenUsed/>
    <w:rsid w:val="00FD3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613"/>
    <w:rPr>
      <w:sz w:val="20"/>
      <w:szCs w:val="20"/>
    </w:rPr>
  </w:style>
  <w:style w:type="character" w:styleId="FootnoteReference">
    <w:name w:val="footnote reference"/>
    <w:basedOn w:val="DefaultParagraphFont"/>
    <w:uiPriority w:val="99"/>
    <w:semiHidden/>
    <w:unhideWhenUsed/>
    <w:rsid w:val="00FD3613"/>
    <w:rPr>
      <w:vertAlign w:val="superscript"/>
    </w:rPr>
  </w:style>
  <w:style w:type="character" w:customStyle="1" w:styleId="Heading1Char">
    <w:name w:val="Heading 1 Char"/>
    <w:basedOn w:val="DefaultParagraphFont"/>
    <w:link w:val="Heading1"/>
    <w:rsid w:val="008B077F"/>
    <w:rPr>
      <w:rFonts w:ascii="Times New Roman" w:eastAsia="Times New Roman" w:hAnsi="Times New Roman" w:cs="Times New Roman"/>
      <w:b/>
      <w:snapToGrid w:val="0"/>
      <w:sz w:val="24"/>
      <w:szCs w:val="20"/>
      <w:u w:val="single"/>
    </w:rPr>
  </w:style>
  <w:style w:type="character" w:customStyle="1" w:styleId="Heading2Char">
    <w:name w:val="Heading 2 Char"/>
    <w:basedOn w:val="DefaultParagraphFont"/>
    <w:link w:val="Heading2"/>
    <w:rsid w:val="008B077F"/>
    <w:rPr>
      <w:rFonts w:ascii="Times New Roman" w:eastAsia="Times New Roman" w:hAnsi="Times New Roman" w:cs="Times New Roman"/>
      <w:snapToGrid w:val="0"/>
      <w:sz w:val="28"/>
      <w:szCs w:val="20"/>
    </w:rPr>
  </w:style>
  <w:style w:type="character" w:customStyle="1" w:styleId="Heading3Char">
    <w:name w:val="Heading 3 Char"/>
    <w:basedOn w:val="DefaultParagraphFont"/>
    <w:link w:val="Heading3"/>
    <w:rsid w:val="008B077F"/>
    <w:rPr>
      <w:rFonts w:ascii="Times New Roman" w:eastAsia="Times New Roman" w:hAnsi="Times New Roman" w:cs="Times New Roman"/>
      <w:b/>
      <w:bCs/>
      <w:snapToGrid w:val="0"/>
      <w:sz w:val="25"/>
      <w:szCs w:val="26"/>
      <w:u w:val="single"/>
    </w:rPr>
  </w:style>
  <w:style w:type="character" w:customStyle="1" w:styleId="Heading7Char">
    <w:name w:val="Heading 7 Char"/>
    <w:basedOn w:val="DefaultParagraphFont"/>
    <w:link w:val="Heading7"/>
    <w:rsid w:val="008B077F"/>
    <w:rPr>
      <w:rFonts w:ascii="Times New Roman" w:eastAsia="Times New Roman" w:hAnsi="Times New Roman" w:cs="Times New Roman"/>
      <w:snapToGrid w:val="0"/>
      <w:sz w:val="24"/>
      <w:szCs w:val="24"/>
    </w:rPr>
  </w:style>
  <w:style w:type="numbering" w:customStyle="1" w:styleId="NoList1">
    <w:name w:val="No List1"/>
    <w:next w:val="NoList"/>
    <w:semiHidden/>
    <w:rsid w:val="008B077F"/>
  </w:style>
  <w:style w:type="paragraph" w:styleId="BlockText">
    <w:name w:val="Block Text"/>
    <w:basedOn w:val="Normal"/>
    <w:rsid w:val="008B077F"/>
    <w:pPr>
      <w:spacing w:after="0" w:line="250" w:lineRule="auto"/>
      <w:ind w:left="1440" w:right="1440"/>
      <w:jc w:val="both"/>
    </w:pPr>
    <w:rPr>
      <w:rFonts w:ascii="Times New Roman" w:eastAsia="Times New Roman" w:hAnsi="Times New Roman" w:cs="Times New Roman"/>
      <w:snapToGrid w:val="0"/>
      <w:sz w:val="25"/>
      <w:szCs w:val="20"/>
    </w:rPr>
  </w:style>
  <w:style w:type="paragraph" w:styleId="Footer">
    <w:name w:val="footer"/>
    <w:basedOn w:val="Normal"/>
    <w:link w:val="FooterChar"/>
    <w:uiPriority w:val="99"/>
    <w:rsid w:val="008B077F"/>
    <w:pPr>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8B077F"/>
    <w:rPr>
      <w:rFonts w:ascii="Times New Roman" w:eastAsia="Times New Roman" w:hAnsi="Times New Roman" w:cs="Times New Roman"/>
      <w:snapToGrid w:val="0"/>
      <w:sz w:val="24"/>
      <w:szCs w:val="20"/>
    </w:rPr>
  </w:style>
  <w:style w:type="character" w:styleId="PageNumber">
    <w:name w:val="page number"/>
    <w:basedOn w:val="DefaultParagraphFont"/>
    <w:rsid w:val="008B077F"/>
  </w:style>
  <w:style w:type="paragraph" w:styleId="BodyTextIndent">
    <w:name w:val="Body Text Indent"/>
    <w:basedOn w:val="Normal"/>
    <w:link w:val="BodyTextIndentChar"/>
    <w:rsid w:val="008B077F"/>
    <w:pPr>
      <w:spacing w:after="0" w:line="240" w:lineRule="auto"/>
      <w:ind w:left="720"/>
      <w:jc w:val="both"/>
    </w:pPr>
    <w:rPr>
      <w:rFonts w:ascii="Times New Roman" w:eastAsia="Times New Roman" w:hAnsi="Times New Roman" w:cs="Times New Roman"/>
      <w:snapToGrid w:val="0"/>
      <w:sz w:val="25"/>
      <w:szCs w:val="26"/>
    </w:rPr>
  </w:style>
  <w:style w:type="character" w:customStyle="1" w:styleId="BodyTextIndentChar">
    <w:name w:val="Body Text Indent Char"/>
    <w:basedOn w:val="DefaultParagraphFont"/>
    <w:link w:val="BodyTextIndent"/>
    <w:rsid w:val="008B077F"/>
    <w:rPr>
      <w:rFonts w:ascii="Times New Roman" w:eastAsia="Times New Roman" w:hAnsi="Times New Roman" w:cs="Times New Roman"/>
      <w:snapToGrid w:val="0"/>
      <w:sz w:val="25"/>
      <w:szCs w:val="26"/>
    </w:rPr>
  </w:style>
  <w:style w:type="character" w:styleId="FollowedHyperlink">
    <w:name w:val="FollowedHyperlink"/>
    <w:rsid w:val="008B077F"/>
    <w:rPr>
      <w:color w:val="800080"/>
      <w:u w:val="single"/>
    </w:rPr>
  </w:style>
  <w:style w:type="paragraph" w:styleId="BodyTextIndent2">
    <w:name w:val="Body Text Indent 2"/>
    <w:basedOn w:val="Normal"/>
    <w:link w:val="BodyTextIndent2Char"/>
    <w:rsid w:val="008B077F"/>
    <w:pPr>
      <w:spacing w:after="0" w:line="480" w:lineRule="auto"/>
      <w:ind w:firstLine="720"/>
      <w:jc w:val="both"/>
    </w:pPr>
    <w:rPr>
      <w:rFonts w:ascii="Times New Roman" w:eastAsia="Times New Roman" w:hAnsi="Times New Roman" w:cs="Times New Roman"/>
      <w:snapToGrid w:val="0"/>
      <w:sz w:val="25"/>
      <w:szCs w:val="26"/>
    </w:rPr>
  </w:style>
  <w:style w:type="character" w:customStyle="1" w:styleId="BodyTextIndent2Char">
    <w:name w:val="Body Text Indent 2 Char"/>
    <w:basedOn w:val="DefaultParagraphFont"/>
    <w:link w:val="BodyTextIndent2"/>
    <w:rsid w:val="008B077F"/>
    <w:rPr>
      <w:rFonts w:ascii="Times New Roman" w:eastAsia="Times New Roman" w:hAnsi="Times New Roman" w:cs="Times New Roman"/>
      <w:snapToGrid w:val="0"/>
      <w:sz w:val="25"/>
      <w:szCs w:val="26"/>
    </w:rPr>
  </w:style>
  <w:style w:type="paragraph" w:styleId="BodyTextIndent3">
    <w:name w:val="Body Text Indent 3"/>
    <w:basedOn w:val="Normal"/>
    <w:link w:val="BodyTextIndent3Char"/>
    <w:rsid w:val="008B077F"/>
    <w:pPr>
      <w:spacing w:after="0" w:line="240" w:lineRule="auto"/>
      <w:ind w:right="720" w:firstLine="720"/>
      <w:jc w:val="both"/>
    </w:pPr>
    <w:rPr>
      <w:rFonts w:ascii="Times New Roman" w:eastAsia="Times New Roman" w:hAnsi="Times New Roman" w:cs="Times New Roman"/>
      <w:snapToGrid w:val="0"/>
      <w:sz w:val="25"/>
      <w:szCs w:val="26"/>
    </w:rPr>
  </w:style>
  <w:style w:type="character" w:customStyle="1" w:styleId="BodyTextIndent3Char">
    <w:name w:val="Body Text Indent 3 Char"/>
    <w:basedOn w:val="DefaultParagraphFont"/>
    <w:link w:val="BodyTextIndent3"/>
    <w:rsid w:val="008B077F"/>
    <w:rPr>
      <w:rFonts w:ascii="Times New Roman" w:eastAsia="Times New Roman" w:hAnsi="Times New Roman" w:cs="Times New Roman"/>
      <w:snapToGrid w:val="0"/>
      <w:sz w:val="25"/>
      <w:szCs w:val="26"/>
    </w:rPr>
  </w:style>
  <w:style w:type="paragraph" w:styleId="Header">
    <w:name w:val="header"/>
    <w:basedOn w:val="Normal"/>
    <w:link w:val="HeaderChar"/>
    <w:rsid w:val="008B077F"/>
    <w:pPr>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8B077F"/>
    <w:rPr>
      <w:rFonts w:ascii="Times New Roman" w:eastAsia="Times New Roman" w:hAnsi="Times New Roman" w:cs="Times New Roman"/>
      <w:snapToGrid w:val="0"/>
      <w:sz w:val="24"/>
      <w:szCs w:val="20"/>
    </w:rPr>
  </w:style>
  <w:style w:type="character" w:customStyle="1" w:styleId="Strong1">
    <w:name w:val="Strong1"/>
    <w:basedOn w:val="DefaultParagraphFont"/>
    <w:rsid w:val="008B077F"/>
  </w:style>
  <w:style w:type="paragraph" w:styleId="DocumentMap">
    <w:name w:val="Document Map"/>
    <w:basedOn w:val="Normal"/>
    <w:link w:val="DocumentMapChar"/>
    <w:semiHidden/>
    <w:rsid w:val="008B077F"/>
    <w:pPr>
      <w:shd w:val="clear" w:color="auto" w:fill="000080"/>
      <w:spacing w:after="0" w:line="240" w:lineRule="auto"/>
    </w:pPr>
    <w:rPr>
      <w:rFonts w:ascii="Tahoma" w:eastAsia="Times New Roman" w:hAnsi="Tahoma" w:cs="Tahoma"/>
      <w:snapToGrid w:val="0"/>
      <w:sz w:val="20"/>
      <w:szCs w:val="20"/>
    </w:rPr>
  </w:style>
  <w:style w:type="character" w:customStyle="1" w:styleId="DocumentMapChar">
    <w:name w:val="Document Map Char"/>
    <w:basedOn w:val="DefaultParagraphFont"/>
    <w:link w:val="DocumentMap"/>
    <w:semiHidden/>
    <w:rsid w:val="008B077F"/>
    <w:rPr>
      <w:rFonts w:ascii="Tahoma" w:eastAsia="Times New Roman" w:hAnsi="Tahoma" w:cs="Tahoma"/>
      <w:snapToGrid w:val="0"/>
      <w:sz w:val="20"/>
      <w:szCs w:val="20"/>
      <w:shd w:val="clear" w:color="auto" w:fill="000080"/>
    </w:rPr>
  </w:style>
  <w:style w:type="paragraph" w:styleId="NormalWeb">
    <w:name w:val="Normal (Web)"/>
    <w:basedOn w:val="Normal"/>
    <w:uiPriority w:val="99"/>
    <w:rsid w:val="008B077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rsid w:val="008B077F"/>
    <w:pPr>
      <w:numPr>
        <w:numId w:val="6"/>
      </w:numPr>
      <w:spacing w:after="0" w:line="240" w:lineRule="auto"/>
      <w:contextualSpacing/>
    </w:pPr>
    <w:rPr>
      <w:rFonts w:ascii="Times New Roman" w:eastAsia="Times New Roman" w:hAnsi="Times New Roman" w:cs="Times New Roman"/>
      <w:snapToGrid w:val="0"/>
      <w:sz w:val="24"/>
      <w:szCs w:val="20"/>
    </w:rPr>
  </w:style>
  <w:style w:type="paragraph" w:styleId="BalloonText">
    <w:name w:val="Balloon Text"/>
    <w:basedOn w:val="Normal"/>
    <w:link w:val="BalloonTextChar"/>
    <w:rsid w:val="008B077F"/>
    <w:pPr>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8B077F"/>
    <w:rPr>
      <w:rFonts w:ascii="Tahoma" w:eastAsia="Times New Roman" w:hAnsi="Tahoma" w:cs="Tahoma"/>
      <w:snapToGrid w:val="0"/>
      <w:sz w:val="16"/>
      <w:szCs w:val="16"/>
    </w:rPr>
  </w:style>
  <w:style w:type="character" w:styleId="Emphasis">
    <w:name w:val="Emphasis"/>
    <w:uiPriority w:val="20"/>
    <w:qFormat/>
    <w:rsid w:val="008B077F"/>
    <w:rPr>
      <w:i/>
      <w:iCs/>
    </w:rPr>
  </w:style>
  <w:style w:type="paragraph" w:customStyle="1" w:styleId="auto-style497">
    <w:name w:val="auto-style497"/>
    <w:basedOn w:val="Normal"/>
    <w:rsid w:val="008B0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508">
    <w:name w:val="auto-style508"/>
    <w:rsid w:val="008B077F"/>
  </w:style>
  <w:style w:type="character" w:styleId="IntenseEmphasis">
    <w:name w:val="Intense Emphasis"/>
    <w:uiPriority w:val="21"/>
    <w:qFormat/>
    <w:rsid w:val="008B077F"/>
    <w:rPr>
      <w:i/>
      <w:iCs/>
      <w:color w:val="4472C4"/>
    </w:rPr>
  </w:style>
  <w:style w:type="paragraph" w:customStyle="1" w:styleId="auto-style193">
    <w:name w:val="auto-style193"/>
    <w:basedOn w:val="Normal"/>
    <w:rsid w:val="008B077F"/>
    <w:pPr>
      <w:spacing w:before="100" w:beforeAutospacing="1" w:after="100" w:afterAutospacing="1" w:line="240" w:lineRule="auto"/>
    </w:pPr>
    <w:rPr>
      <w:rFonts w:ascii="Calibri" w:eastAsia="Calibri" w:hAnsi="Calibri" w:cs="Calibri"/>
    </w:rPr>
  </w:style>
  <w:style w:type="character" w:customStyle="1" w:styleId="auto-style200">
    <w:name w:val="auto-style200"/>
    <w:rsid w:val="008B077F"/>
  </w:style>
  <w:style w:type="character" w:customStyle="1" w:styleId="auto-style373">
    <w:name w:val="auto-style373"/>
    <w:rsid w:val="008B077F"/>
  </w:style>
  <w:style w:type="character" w:styleId="CommentReference">
    <w:name w:val="annotation reference"/>
    <w:rsid w:val="008B077F"/>
    <w:rPr>
      <w:sz w:val="16"/>
      <w:szCs w:val="16"/>
    </w:rPr>
  </w:style>
  <w:style w:type="paragraph" w:styleId="CommentText">
    <w:name w:val="annotation text"/>
    <w:basedOn w:val="Normal"/>
    <w:link w:val="CommentTextChar"/>
    <w:rsid w:val="008B077F"/>
    <w:pPr>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8B077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rsid w:val="008B077F"/>
    <w:rPr>
      <w:b/>
      <w:bCs/>
    </w:rPr>
  </w:style>
  <w:style w:type="character" w:customStyle="1" w:styleId="CommentSubjectChar">
    <w:name w:val="Comment Subject Char"/>
    <w:basedOn w:val="CommentTextChar"/>
    <w:link w:val="CommentSubject"/>
    <w:rsid w:val="008B077F"/>
    <w:rPr>
      <w:rFonts w:ascii="Times New Roman" w:eastAsia="Times New Roman" w:hAnsi="Times New Roman" w:cs="Times New Roman"/>
      <w:b/>
      <w:bCs/>
      <w:snapToGrid w:val="0"/>
      <w:sz w:val="20"/>
      <w:szCs w:val="20"/>
    </w:rPr>
  </w:style>
  <w:style w:type="character" w:customStyle="1" w:styleId="Strong10">
    <w:name w:val="Strong1"/>
    <w:rsid w:val="008B077F"/>
  </w:style>
  <w:style w:type="paragraph" w:customStyle="1" w:styleId="auto-style501">
    <w:name w:val="auto-style501"/>
    <w:basedOn w:val="Normal"/>
    <w:rsid w:val="008B077F"/>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12">
      <w:bodyDiv w:val="1"/>
      <w:marLeft w:val="0"/>
      <w:marRight w:val="0"/>
      <w:marTop w:val="0"/>
      <w:marBottom w:val="0"/>
      <w:divBdr>
        <w:top w:val="none" w:sz="0" w:space="0" w:color="auto"/>
        <w:left w:val="none" w:sz="0" w:space="0" w:color="auto"/>
        <w:bottom w:val="none" w:sz="0" w:space="0" w:color="auto"/>
        <w:right w:val="none" w:sz="0" w:space="0" w:color="auto"/>
      </w:divBdr>
    </w:div>
    <w:div w:id="126898275">
      <w:bodyDiv w:val="1"/>
      <w:marLeft w:val="0"/>
      <w:marRight w:val="0"/>
      <w:marTop w:val="0"/>
      <w:marBottom w:val="0"/>
      <w:divBdr>
        <w:top w:val="none" w:sz="0" w:space="0" w:color="auto"/>
        <w:left w:val="none" w:sz="0" w:space="0" w:color="auto"/>
        <w:bottom w:val="none" w:sz="0" w:space="0" w:color="auto"/>
        <w:right w:val="none" w:sz="0" w:space="0" w:color="auto"/>
      </w:divBdr>
    </w:div>
    <w:div w:id="140314535">
      <w:bodyDiv w:val="1"/>
      <w:marLeft w:val="0"/>
      <w:marRight w:val="0"/>
      <w:marTop w:val="0"/>
      <w:marBottom w:val="0"/>
      <w:divBdr>
        <w:top w:val="none" w:sz="0" w:space="0" w:color="auto"/>
        <w:left w:val="none" w:sz="0" w:space="0" w:color="auto"/>
        <w:bottom w:val="none" w:sz="0" w:space="0" w:color="auto"/>
        <w:right w:val="none" w:sz="0" w:space="0" w:color="auto"/>
      </w:divBdr>
      <w:divsChild>
        <w:div w:id="1413166329">
          <w:marLeft w:val="-225"/>
          <w:marRight w:val="-225"/>
          <w:marTop w:val="0"/>
          <w:marBottom w:val="90"/>
          <w:divBdr>
            <w:top w:val="none" w:sz="0" w:space="0" w:color="auto"/>
            <w:left w:val="none" w:sz="0" w:space="0" w:color="auto"/>
            <w:bottom w:val="none" w:sz="0" w:space="0" w:color="auto"/>
            <w:right w:val="none" w:sz="0" w:space="0" w:color="auto"/>
          </w:divBdr>
          <w:divsChild>
            <w:div w:id="332879853">
              <w:marLeft w:val="0"/>
              <w:marRight w:val="0"/>
              <w:marTop w:val="0"/>
              <w:marBottom w:val="0"/>
              <w:divBdr>
                <w:top w:val="none" w:sz="0" w:space="0" w:color="auto"/>
                <w:left w:val="none" w:sz="0" w:space="0" w:color="auto"/>
                <w:bottom w:val="none" w:sz="0" w:space="0" w:color="auto"/>
                <w:right w:val="none" w:sz="0" w:space="0" w:color="auto"/>
              </w:divBdr>
            </w:div>
          </w:divsChild>
        </w:div>
        <w:div w:id="1905603879">
          <w:marLeft w:val="-225"/>
          <w:marRight w:val="-225"/>
          <w:marTop w:val="0"/>
          <w:marBottom w:val="0"/>
          <w:divBdr>
            <w:top w:val="none" w:sz="0" w:space="0" w:color="auto"/>
            <w:left w:val="none" w:sz="0" w:space="0" w:color="auto"/>
            <w:bottom w:val="none" w:sz="0" w:space="0" w:color="auto"/>
            <w:right w:val="none" w:sz="0" w:space="0" w:color="auto"/>
          </w:divBdr>
          <w:divsChild>
            <w:div w:id="1305424846">
              <w:marLeft w:val="0"/>
              <w:marRight w:val="0"/>
              <w:marTop w:val="0"/>
              <w:marBottom w:val="0"/>
              <w:divBdr>
                <w:top w:val="none" w:sz="0" w:space="0" w:color="auto"/>
                <w:left w:val="none" w:sz="0" w:space="0" w:color="auto"/>
                <w:bottom w:val="none" w:sz="0" w:space="0" w:color="auto"/>
                <w:right w:val="none" w:sz="0" w:space="0" w:color="auto"/>
              </w:divBdr>
            </w:div>
          </w:divsChild>
        </w:div>
        <w:div w:id="1388261835">
          <w:marLeft w:val="-225"/>
          <w:marRight w:val="-225"/>
          <w:marTop w:val="270"/>
          <w:marBottom w:val="0"/>
          <w:divBdr>
            <w:top w:val="none" w:sz="0" w:space="0" w:color="auto"/>
            <w:left w:val="none" w:sz="0" w:space="0" w:color="auto"/>
            <w:bottom w:val="none" w:sz="0" w:space="0" w:color="auto"/>
            <w:right w:val="none" w:sz="0" w:space="0" w:color="auto"/>
          </w:divBdr>
          <w:divsChild>
            <w:div w:id="634260546">
              <w:marLeft w:val="0"/>
              <w:marRight w:val="0"/>
              <w:marTop w:val="0"/>
              <w:marBottom w:val="0"/>
              <w:divBdr>
                <w:top w:val="none" w:sz="0" w:space="0" w:color="auto"/>
                <w:left w:val="none" w:sz="0" w:space="0" w:color="auto"/>
                <w:bottom w:val="none" w:sz="0" w:space="0" w:color="auto"/>
                <w:right w:val="none" w:sz="0" w:space="0" w:color="auto"/>
              </w:divBdr>
            </w:div>
          </w:divsChild>
        </w:div>
        <w:div w:id="1847092752">
          <w:marLeft w:val="0"/>
          <w:marRight w:val="0"/>
          <w:marTop w:val="0"/>
          <w:marBottom w:val="0"/>
          <w:divBdr>
            <w:top w:val="none" w:sz="0" w:space="0" w:color="auto"/>
            <w:left w:val="none" w:sz="0" w:space="0" w:color="auto"/>
            <w:bottom w:val="none" w:sz="0" w:space="0" w:color="auto"/>
            <w:right w:val="none" w:sz="0" w:space="0" w:color="auto"/>
          </w:divBdr>
          <w:divsChild>
            <w:div w:id="1523201187">
              <w:marLeft w:val="0"/>
              <w:marRight w:val="0"/>
              <w:marTop w:val="0"/>
              <w:marBottom w:val="375"/>
              <w:divBdr>
                <w:top w:val="none" w:sz="0" w:space="0" w:color="auto"/>
                <w:left w:val="none" w:sz="0" w:space="0" w:color="auto"/>
                <w:bottom w:val="none" w:sz="0" w:space="0" w:color="auto"/>
                <w:right w:val="none" w:sz="0" w:space="0" w:color="auto"/>
              </w:divBdr>
            </w:div>
            <w:div w:id="1682776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8487643">
      <w:bodyDiv w:val="1"/>
      <w:marLeft w:val="0"/>
      <w:marRight w:val="0"/>
      <w:marTop w:val="0"/>
      <w:marBottom w:val="0"/>
      <w:divBdr>
        <w:top w:val="none" w:sz="0" w:space="0" w:color="auto"/>
        <w:left w:val="none" w:sz="0" w:space="0" w:color="auto"/>
        <w:bottom w:val="none" w:sz="0" w:space="0" w:color="auto"/>
        <w:right w:val="none" w:sz="0" w:space="0" w:color="auto"/>
      </w:divBdr>
    </w:div>
    <w:div w:id="362631930">
      <w:bodyDiv w:val="1"/>
      <w:marLeft w:val="0"/>
      <w:marRight w:val="0"/>
      <w:marTop w:val="0"/>
      <w:marBottom w:val="0"/>
      <w:divBdr>
        <w:top w:val="none" w:sz="0" w:space="0" w:color="auto"/>
        <w:left w:val="none" w:sz="0" w:space="0" w:color="auto"/>
        <w:bottom w:val="none" w:sz="0" w:space="0" w:color="auto"/>
        <w:right w:val="none" w:sz="0" w:space="0" w:color="auto"/>
      </w:divBdr>
      <w:divsChild>
        <w:div w:id="650673516">
          <w:marLeft w:val="0"/>
          <w:marRight w:val="0"/>
          <w:marTop w:val="0"/>
          <w:marBottom w:val="0"/>
          <w:divBdr>
            <w:top w:val="none" w:sz="0" w:space="0" w:color="auto"/>
            <w:left w:val="none" w:sz="0" w:space="0" w:color="auto"/>
            <w:bottom w:val="none" w:sz="0" w:space="0" w:color="auto"/>
            <w:right w:val="none" w:sz="0" w:space="0" w:color="auto"/>
          </w:divBdr>
        </w:div>
        <w:div w:id="949896284">
          <w:marLeft w:val="0"/>
          <w:marRight w:val="0"/>
          <w:marTop w:val="0"/>
          <w:marBottom w:val="0"/>
          <w:divBdr>
            <w:top w:val="none" w:sz="0" w:space="0" w:color="auto"/>
            <w:left w:val="none" w:sz="0" w:space="0" w:color="auto"/>
            <w:bottom w:val="none" w:sz="0" w:space="0" w:color="auto"/>
            <w:right w:val="none" w:sz="0" w:space="0" w:color="auto"/>
          </w:divBdr>
        </w:div>
        <w:div w:id="500194056">
          <w:marLeft w:val="0"/>
          <w:marRight w:val="0"/>
          <w:marTop w:val="0"/>
          <w:marBottom w:val="0"/>
          <w:divBdr>
            <w:top w:val="none" w:sz="0" w:space="0" w:color="auto"/>
            <w:left w:val="none" w:sz="0" w:space="0" w:color="auto"/>
            <w:bottom w:val="none" w:sz="0" w:space="0" w:color="auto"/>
            <w:right w:val="none" w:sz="0" w:space="0" w:color="auto"/>
          </w:divBdr>
        </w:div>
        <w:div w:id="1745184557">
          <w:marLeft w:val="0"/>
          <w:marRight w:val="0"/>
          <w:marTop w:val="0"/>
          <w:marBottom w:val="0"/>
          <w:divBdr>
            <w:top w:val="none" w:sz="0" w:space="0" w:color="auto"/>
            <w:left w:val="none" w:sz="0" w:space="0" w:color="auto"/>
            <w:bottom w:val="none" w:sz="0" w:space="0" w:color="auto"/>
            <w:right w:val="none" w:sz="0" w:space="0" w:color="auto"/>
          </w:divBdr>
        </w:div>
        <w:div w:id="1080519075">
          <w:marLeft w:val="0"/>
          <w:marRight w:val="0"/>
          <w:marTop w:val="0"/>
          <w:marBottom w:val="0"/>
          <w:divBdr>
            <w:top w:val="none" w:sz="0" w:space="0" w:color="auto"/>
            <w:left w:val="none" w:sz="0" w:space="0" w:color="auto"/>
            <w:bottom w:val="none" w:sz="0" w:space="0" w:color="auto"/>
            <w:right w:val="none" w:sz="0" w:space="0" w:color="auto"/>
          </w:divBdr>
        </w:div>
        <w:div w:id="777916740">
          <w:marLeft w:val="0"/>
          <w:marRight w:val="0"/>
          <w:marTop w:val="0"/>
          <w:marBottom w:val="0"/>
          <w:divBdr>
            <w:top w:val="none" w:sz="0" w:space="0" w:color="auto"/>
            <w:left w:val="none" w:sz="0" w:space="0" w:color="auto"/>
            <w:bottom w:val="none" w:sz="0" w:space="0" w:color="auto"/>
            <w:right w:val="none" w:sz="0" w:space="0" w:color="auto"/>
          </w:divBdr>
        </w:div>
        <w:div w:id="1938712353">
          <w:marLeft w:val="0"/>
          <w:marRight w:val="0"/>
          <w:marTop w:val="0"/>
          <w:marBottom w:val="0"/>
          <w:divBdr>
            <w:top w:val="none" w:sz="0" w:space="0" w:color="auto"/>
            <w:left w:val="none" w:sz="0" w:space="0" w:color="auto"/>
            <w:bottom w:val="none" w:sz="0" w:space="0" w:color="auto"/>
            <w:right w:val="none" w:sz="0" w:space="0" w:color="auto"/>
          </w:divBdr>
        </w:div>
      </w:divsChild>
    </w:div>
    <w:div w:id="539518211">
      <w:bodyDiv w:val="1"/>
      <w:marLeft w:val="0"/>
      <w:marRight w:val="0"/>
      <w:marTop w:val="0"/>
      <w:marBottom w:val="0"/>
      <w:divBdr>
        <w:top w:val="none" w:sz="0" w:space="0" w:color="auto"/>
        <w:left w:val="none" w:sz="0" w:space="0" w:color="auto"/>
        <w:bottom w:val="none" w:sz="0" w:space="0" w:color="auto"/>
        <w:right w:val="none" w:sz="0" w:space="0" w:color="auto"/>
      </w:divBdr>
      <w:divsChild>
        <w:div w:id="1905094037">
          <w:marLeft w:val="0"/>
          <w:marRight w:val="0"/>
          <w:marTop w:val="0"/>
          <w:marBottom w:val="0"/>
          <w:divBdr>
            <w:top w:val="none" w:sz="0" w:space="0" w:color="auto"/>
            <w:left w:val="none" w:sz="0" w:space="0" w:color="auto"/>
            <w:bottom w:val="none" w:sz="0" w:space="0" w:color="auto"/>
            <w:right w:val="none" w:sz="0" w:space="0" w:color="auto"/>
          </w:divBdr>
        </w:div>
        <w:div w:id="78908911">
          <w:marLeft w:val="0"/>
          <w:marRight w:val="0"/>
          <w:marTop w:val="0"/>
          <w:marBottom w:val="0"/>
          <w:divBdr>
            <w:top w:val="none" w:sz="0" w:space="0" w:color="auto"/>
            <w:left w:val="none" w:sz="0" w:space="0" w:color="auto"/>
            <w:bottom w:val="none" w:sz="0" w:space="0" w:color="auto"/>
            <w:right w:val="none" w:sz="0" w:space="0" w:color="auto"/>
          </w:divBdr>
        </w:div>
        <w:div w:id="298145324">
          <w:marLeft w:val="0"/>
          <w:marRight w:val="0"/>
          <w:marTop w:val="0"/>
          <w:marBottom w:val="0"/>
          <w:divBdr>
            <w:top w:val="none" w:sz="0" w:space="0" w:color="auto"/>
            <w:left w:val="none" w:sz="0" w:space="0" w:color="auto"/>
            <w:bottom w:val="none" w:sz="0" w:space="0" w:color="auto"/>
            <w:right w:val="none" w:sz="0" w:space="0" w:color="auto"/>
          </w:divBdr>
        </w:div>
        <w:div w:id="2022510964">
          <w:marLeft w:val="0"/>
          <w:marRight w:val="0"/>
          <w:marTop w:val="0"/>
          <w:marBottom w:val="0"/>
          <w:divBdr>
            <w:top w:val="none" w:sz="0" w:space="0" w:color="auto"/>
            <w:left w:val="none" w:sz="0" w:space="0" w:color="auto"/>
            <w:bottom w:val="none" w:sz="0" w:space="0" w:color="auto"/>
            <w:right w:val="none" w:sz="0" w:space="0" w:color="auto"/>
          </w:divBdr>
        </w:div>
        <w:div w:id="656542950">
          <w:marLeft w:val="0"/>
          <w:marRight w:val="0"/>
          <w:marTop w:val="0"/>
          <w:marBottom w:val="0"/>
          <w:divBdr>
            <w:top w:val="none" w:sz="0" w:space="0" w:color="auto"/>
            <w:left w:val="none" w:sz="0" w:space="0" w:color="auto"/>
            <w:bottom w:val="none" w:sz="0" w:space="0" w:color="auto"/>
            <w:right w:val="none" w:sz="0" w:space="0" w:color="auto"/>
          </w:divBdr>
        </w:div>
        <w:div w:id="1517961313">
          <w:marLeft w:val="0"/>
          <w:marRight w:val="0"/>
          <w:marTop w:val="0"/>
          <w:marBottom w:val="0"/>
          <w:divBdr>
            <w:top w:val="none" w:sz="0" w:space="0" w:color="auto"/>
            <w:left w:val="none" w:sz="0" w:space="0" w:color="auto"/>
            <w:bottom w:val="none" w:sz="0" w:space="0" w:color="auto"/>
            <w:right w:val="none" w:sz="0" w:space="0" w:color="auto"/>
          </w:divBdr>
        </w:div>
        <w:div w:id="1670790869">
          <w:marLeft w:val="0"/>
          <w:marRight w:val="0"/>
          <w:marTop w:val="0"/>
          <w:marBottom w:val="0"/>
          <w:divBdr>
            <w:top w:val="none" w:sz="0" w:space="0" w:color="auto"/>
            <w:left w:val="none" w:sz="0" w:space="0" w:color="auto"/>
            <w:bottom w:val="none" w:sz="0" w:space="0" w:color="auto"/>
            <w:right w:val="none" w:sz="0" w:space="0" w:color="auto"/>
          </w:divBdr>
        </w:div>
        <w:div w:id="227499455">
          <w:marLeft w:val="0"/>
          <w:marRight w:val="0"/>
          <w:marTop w:val="0"/>
          <w:marBottom w:val="0"/>
          <w:divBdr>
            <w:top w:val="none" w:sz="0" w:space="0" w:color="auto"/>
            <w:left w:val="none" w:sz="0" w:space="0" w:color="auto"/>
            <w:bottom w:val="none" w:sz="0" w:space="0" w:color="auto"/>
            <w:right w:val="none" w:sz="0" w:space="0" w:color="auto"/>
          </w:divBdr>
        </w:div>
        <w:div w:id="251937589">
          <w:marLeft w:val="0"/>
          <w:marRight w:val="0"/>
          <w:marTop w:val="0"/>
          <w:marBottom w:val="0"/>
          <w:divBdr>
            <w:top w:val="none" w:sz="0" w:space="0" w:color="auto"/>
            <w:left w:val="none" w:sz="0" w:space="0" w:color="auto"/>
            <w:bottom w:val="none" w:sz="0" w:space="0" w:color="auto"/>
            <w:right w:val="none" w:sz="0" w:space="0" w:color="auto"/>
          </w:divBdr>
        </w:div>
        <w:div w:id="1676566781">
          <w:marLeft w:val="0"/>
          <w:marRight w:val="0"/>
          <w:marTop w:val="0"/>
          <w:marBottom w:val="0"/>
          <w:divBdr>
            <w:top w:val="none" w:sz="0" w:space="0" w:color="auto"/>
            <w:left w:val="none" w:sz="0" w:space="0" w:color="auto"/>
            <w:bottom w:val="none" w:sz="0" w:space="0" w:color="auto"/>
            <w:right w:val="none" w:sz="0" w:space="0" w:color="auto"/>
          </w:divBdr>
        </w:div>
        <w:div w:id="1734037720">
          <w:marLeft w:val="0"/>
          <w:marRight w:val="0"/>
          <w:marTop w:val="0"/>
          <w:marBottom w:val="0"/>
          <w:divBdr>
            <w:top w:val="none" w:sz="0" w:space="0" w:color="auto"/>
            <w:left w:val="none" w:sz="0" w:space="0" w:color="auto"/>
            <w:bottom w:val="none" w:sz="0" w:space="0" w:color="auto"/>
            <w:right w:val="none" w:sz="0" w:space="0" w:color="auto"/>
          </w:divBdr>
        </w:div>
        <w:div w:id="24603403">
          <w:marLeft w:val="0"/>
          <w:marRight w:val="0"/>
          <w:marTop w:val="0"/>
          <w:marBottom w:val="0"/>
          <w:divBdr>
            <w:top w:val="none" w:sz="0" w:space="0" w:color="auto"/>
            <w:left w:val="none" w:sz="0" w:space="0" w:color="auto"/>
            <w:bottom w:val="none" w:sz="0" w:space="0" w:color="auto"/>
            <w:right w:val="none" w:sz="0" w:space="0" w:color="auto"/>
          </w:divBdr>
        </w:div>
        <w:div w:id="554508593">
          <w:marLeft w:val="0"/>
          <w:marRight w:val="0"/>
          <w:marTop w:val="0"/>
          <w:marBottom w:val="0"/>
          <w:divBdr>
            <w:top w:val="none" w:sz="0" w:space="0" w:color="auto"/>
            <w:left w:val="none" w:sz="0" w:space="0" w:color="auto"/>
            <w:bottom w:val="none" w:sz="0" w:space="0" w:color="auto"/>
            <w:right w:val="none" w:sz="0" w:space="0" w:color="auto"/>
          </w:divBdr>
        </w:div>
        <w:div w:id="1599025892">
          <w:marLeft w:val="0"/>
          <w:marRight w:val="0"/>
          <w:marTop w:val="0"/>
          <w:marBottom w:val="0"/>
          <w:divBdr>
            <w:top w:val="none" w:sz="0" w:space="0" w:color="auto"/>
            <w:left w:val="none" w:sz="0" w:space="0" w:color="auto"/>
            <w:bottom w:val="none" w:sz="0" w:space="0" w:color="auto"/>
            <w:right w:val="none" w:sz="0" w:space="0" w:color="auto"/>
          </w:divBdr>
        </w:div>
        <w:div w:id="1736855223">
          <w:marLeft w:val="0"/>
          <w:marRight w:val="0"/>
          <w:marTop w:val="0"/>
          <w:marBottom w:val="0"/>
          <w:divBdr>
            <w:top w:val="none" w:sz="0" w:space="0" w:color="auto"/>
            <w:left w:val="none" w:sz="0" w:space="0" w:color="auto"/>
            <w:bottom w:val="none" w:sz="0" w:space="0" w:color="auto"/>
            <w:right w:val="none" w:sz="0" w:space="0" w:color="auto"/>
          </w:divBdr>
        </w:div>
        <w:div w:id="1764112048">
          <w:marLeft w:val="0"/>
          <w:marRight w:val="0"/>
          <w:marTop w:val="0"/>
          <w:marBottom w:val="0"/>
          <w:divBdr>
            <w:top w:val="none" w:sz="0" w:space="0" w:color="auto"/>
            <w:left w:val="none" w:sz="0" w:space="0" w:color="auto"/>
            <w:bottom w:val="none" w:sz="0" w:space="0" w:color="auto"/>
            <w:right w:val="none" w:sz="0" w:space="0" w:color="auto"/>
          </w:divBdr>
        </w:div>
        <w:div w:id="600063805">
          <w:marLeft w:val="0"/>
          <w:marRight w:val="0"/>
          <w:marTop w:val="0"/>
          <w:marBottom w:val="0"/>
          <w:divBdr>
            <w:top w:val="none" w:sz="0" w:space="0" w:color="auto"/>
            <w:left w:val="none" w:sz="0" w:space="0" w:color="auto"/>
            <w:bottom w:val="none" w:sz="0" w:space="0" w:color="auto"/>
            <w:right w:val="none" w:sz="0" w:space="0" w:color="auto"/>
          </w:divBdr>
        </w:div>
        <w:div w:id="308561964">
          <w:marLeft w:val="0"/>
          <w:marRight w:val="0"/>
          <w:marTop w:val="0"/>
          <w:marBottom w:val="0"/>
          <w:divBdr>
            <w:top w:val="none" w:sz="0" w:space="0" w:color="auto"/>
            <w:left w:val="none" w:sz="0" w:space="0" w:color="auto"/>
            <w:bottom w:val="none" w:sz="0" w:space="0" w:color="auto"/>
            <w:right w:val="none" w:sz="0" w:space="0" w:color="auto"/>
          </w:divBdr>
        </w:div>
        <w:div w:id="1864202846">
          <w:marLeft w:val="0"/>
          <w:marRight w:val="0"/>
          <w:marTop w:val="0"/>
          <w:marBottom w:val="0"/>
          <w:divBdr>
            <w:top w:val="none" w:sz="0" w:space="0" w:color="auto"/>
            <w:left w:val="none" w:sz="0" w:space="0" w:color="auto"/>
            <w:bottom w:val="none" w:sz="0" w:space="0" w:color="auto"/>
            <w:right w:val="none" w:sz="0" w:space="0" w:color="auto"/>
          </w:divBdr>
        </w:div>
        <w:div w:id="563490170">
          <w:marLeft w:val="0"/>
          <w:marRight w:val="0"/>
          <w:marTop w:val="0"/>
          <w:marBottom w:val="0"/>
          <w:divBdr>
            <w:top w:val="none" w:sz="0" w:space="0" w:color="auto"/>
            <w:left w:val="none" w:sz="0" w:space="0" w:color="auto"/>
            <w:bottom w:val="none" w:sz="0" w:space="0" w:color="auto"/>
            <w:right w:val="none" w:sz="0" w:space="0" w:color="auto"/>
          </w:divBdr>
        </w:div>
        <w:div w:id="777215551">
          <w:marLeft w:val="0"/>
          <w:marRight w:val="0"/>
          <w:marTop w:val="0"/>
          <w:marBottom w:val="0"/>
          <w:divBdr>
            <w:top w:val="none" w:sz="0" w:space="0" w:color="auto"/>
            <w:left w:val="none" w:sz="0" w:space="0" w:color="auto"/>
            <w:bottom w:val="none" w:sz="0" w:space="0" w:color="auto"/>
            <w:right w:val="none" w:sz="0" w:space="0" w:color="auto"/>
          </w:divBdr>
        </w:div>
        <w:div w:id="747925042">
          <w:marLeft w:val="0"/>
          <w:marRight w:val="0"/>
          <w:marTop w:val="0"/>
          <w:marBottom w:val="0"/>
          <w:divBdr>
            <w:top w:val="none" w:sz="0" w:space="0" w:color="auto"/>
            <w:left w:val="none" w:sz="0" w:space="0" w:color="auto"/>
            <w:bottom w:val="none" w:sz="0" w:space="0" w:color="auto"/>
            <w:right w:val="none" w:sz="0" w:space="0" w:color="auto"/>
          </w:divBdr>
        </w:div>
      </w:divsChild>
    </w:div>
    <w:div w:id="563833145">
      <w:bodyDiv w:val="1"/>
      <w:marLeft w:val="0"/>
      <w:marRight w:val="0"/>
      <w:marTop w:val="0"/>
      <w:marBottom w:val="0"/>
      <w:divBdr>
        <w:top w:val="none" w:sz="0" w:space="0" w:color="auto"/>
        <w:left w:val="none" w:sz="0" w:space="0" w:color="auto"/>
        <w:bottom w:val="none" w:sz="0" w:space="0" w:color="auto"/>
        <w:right w:val="none" w:sz="0" w:space="0" w:color="auto"/>
      </w:divBdr>
      <w:divsChild>
        <w:div w:id="1811247545">
          <w:marLeft w:val="0"/>
          <w:marRight w:val="0"/>
          <w:marTop w:val="0"/>
          <w:marBottom w:val="0"/>
          <w:divBdr>
            <w:top w:val="none" w:sz="0" w:space="0" w:color="auto"/>
            <w:left w:val="none" w:sz="0" w:space="0" w:color="auto"/>
            <w:bottom w:val="none" w:sz="0" w:space="0" w:color="auto"/>
            <w:right w:val="none" w:sz="0" w:space="0" w:color="auto"/>
          </w:divBdr>
        </w:div>
        <w:div w:id="1991598717">
          <w:marLeft w:val="0"/>
          <w:marRight w:val="0"/>
          <w:marTop w:val="0"/>
          <w:marBottom w:val="0"/>
          <w:divBdr>
            <w:top w:val="none" w:sz="0" w:space="0" w:color="auto"/>
            <w:left w:val="none" w:sz="0" w:space="0" w:color="auto"/>
            <w:bottom w:val="none" w:sz="0" w:space="0" w:color="auto"/>
            <w:right w:val="none" w:sz="0" w:space="0" w:color="auto"/>
          </w:divBdr>
        </w:div>
        <w:div w:id="1795244872">
          <w:marLeft w:val="0"/>
          <w:marRight w:val="0"/>
          <w:marTop w:val="0"/>
          <w:marBottom w:val="0"/>
          <w:divBdr>
            <w:top w:val="none" w:sz="0" w:space="0" w:color="auto"/>
            <w:left w:val="none" w:sz="0" w:space="0" w:color="auto"/>
            <w:bottom w:val="none" w:sz="0" w:space="0" w:color="auto"/>
            <w:right w:val="none" w:sz="0" w:space="0" w:color="auto"/>
          </w:divBdr>
        </w:div>
        <w:div w:id="1177184677">
          <w:marLeft w:val="0"/>
          <w:marRight w:val="0"/>
          <w:marTop w:val="0"/>
          <w:marBottom w:val="0"/>
          <w:divBdr>
            <w:top w:val="none" w:sz="0" w:space="0" w:color="auto"/>
            <w:left w:val="none" w:sz="0" w:space="0" w:color="auto"/>
            <w:bottom w:val="none" w:sz="0" w:space="0" w:color="auto"/>
            <w:right w:val="none" w:sz="0" w:space="0" w:color="auto"/>
          </w:divBdr>
        </w:div>
        <w:div w:id="279454927">
          <w:marLeft w:val="0"/>
          <w:marRight w:val="0"/>
          <w:marTop w:val="0"/>
          <w:marBottom w:val="0"/>
          <w:divBdr>
            <w:top w:val="none" w:sz="0" w:space="0" w:color="auto"/>
            <w:left w:val="none" w:sz="0" w:space="0" w:color="auto"/>
            <w:bottom w:val="none" w:sz="0" w:space="0" w:color="auto"/>
            <w:right w:val="none" w:sz="0" w:space="0" w:color="auto"/>
          </w:divBdr>
        </w:div>
        <w:div w:id="918713610">
          <w:marLeft w:val="0"/>
          <w:marRight w:val="0"/>
          <w:marTop w:val="0"/>
          <w:marBottom w:val="0"/>
          <w:divBdr>
            <w:top w:val="none" w:sz="0" w:space="0" w:color="auto"/>
            <w:left w:val="none" w:sz="0" w:space="0" w:color="auto"/>
            <w:bottom w:val="none" w:sz="0" w:space="0" w:color="auto"/>
            <w:right w:val="none" w:sz="0" w:space="0" w:color="auto"/>
          </w:divBdr>
        </w:div>
        <w:div w:id="886722256">
          <w:marLeft w:val="0"/>
          <w:marRight w:val="0"/>
          <w:marTop w:val="0"/>
          <w:marBottom w:val="0"/>
          <w:divBdr>
            <w:top w:val="none" w:sz="0" w:space="0" w:color="auto"/>
            <w:left w:val="none" w:sz="0" w:space="0" w:color="auto"/>
            <w:bottom w:val="none" w:sz="0" w:space="0" w:color="auto"/>
            <w:right w:val="none" w:sz="0" w:space="0" w:color="auto"/>
          </w:divBdr>
        </w:div>
      </w:divsChild>
    </w:div>
    <w:div w:id="732433422">
      <w:bodyDiv w:val="1"/>
      <w:marLeft w:val="0"/>
      <w:marRight w:val="0"/>
      <w:marTop w:val="0"/>
      <w:marBottom w:val="0"/>
      <w:divBdr>
        <w:top w:val="none" w:sz="0" w:space="0" w:color="auto"/>
        <w:left w:val="none" w:sz="0" w:space="0" w:color="auto"/>
        <w:bottom w:val="none" w:sz="0" w:space="0" w:color="auto"/>
        <w:right w:val="none" w:sz="0" w:space="0" w:color="auto"/>
      </w:divBdr>
    </w:div>
    <w:div w:id="794713937">
      <w:bodyDiv w:val="1"/>
      <w:marLeft w:val="0"/>
      <w:marRight w:val="0"/>
      <w:marTop w:val="0"/>
      <w:marBottom w:val="0"/>
      <w:divBdr>
        <w:top w:val="none" w:sz="0" w:space="0" w:color="auto"/>
        <w:left w:val="none" w:sz="0" w:space="0" w:color="auto"/>
        <w:bottom w:val="none" w:sz="0" w:space="0" w:color="auto"/>
        <w:right w:val="none" w:sz="0" w:space="0" w:color="auto"/>
      </w:divBdr>
    </w:div>
    <w:div w:id="817695897">
      <w:bodyDiv w:val="1"/>
      <w:marLeft w:val="0"/>
      <w:marRight w:val="0"/>
      <w:marTop w:val="0"/>
      <w:marBottom w:val="0"/>
      <w:divBdr>
        <w:top w:val="none" w:sz="0" w:space="0" w:color="auto"/>
        <w:left w:val="none" w:sz="0" w:space="0" w:color="auto"/>
        <w:bottom w:val="none" w:sz="0" w:space="0" w:color="auto"/>
        <w:right w:val="none" w:sz="0" w:space="0" w:color="auto"/>
      </w:divBdr>
    </w:div>
    <w:div w:id="866066225">
      <w:bodyDiv w:val="1"/>
      <w:marLeft w:val="0"/>
      <w:marRight w:val="0"/>
      <w:marTop w:val="0"/>
      <w:marBottom w:val="0"/>
      <w:divBdr>
        <w:top w:val="none" w:sz="0" w:space="0" w:color="auto"/>
        <w:left w:val="none" w:sz="0" w:space="0" w:color="auto"/>
        <w:bottom w:val="none" w:sz="0" w:space="0" w:color="auto"/>
        <w:right w:val="none" w:sz="0" w:space="0" w:color="auto"/>
      </w:divBdr>
    </w:div>
    <w:div w:id="1179196869">
      <w:bodyDiv w:val="1"/>
      <w:marLeft w:val="0"/>
      <w:marRight w:val="0"/>
      <w:marTop w:val="0"/>
      <w:marBottom w:val="0"/>
      <w:divBdr>
        <w:top w:val="none" w:sz="0" w:space="0" w:color="auto"/>
        <w:left w:val="none" w:sz="0" w:space="0" w:color="auto"/>
        <w:bottom w:val="none" w:sz="0" w:space="0" w:color="auto"/>
        <w:right w:val="none" w:sz="0" w:space="0" w:color="auto"/>
      </w:divBdr>
      <w:divsChild>
        <w:div w:id="1049694180">
          <w:marLeft w:val="0"/>
          <w:marRight w:val="0"/>
          <w:marTop w:val="0"/>
          <w:marBottom w:val="0"/>
          <w:divBdr>
            <w:top w:val="none" w:sz="0" w:space="0" w:color="auto"/>
            <w:left w:val="none" w:sz="0" w:space="0" w:color="auto"/>
            <w:bottom w:val="none" w:sz="0" w:space="0" w:color="auto"/>
            <w:right w:val="none" w:sz="0" w:space="0" w:color="auto"/>
          </w:divBdr>
        </w:div>
        <w:div w:id="443430336">
          <w:marLeft w:val="0"/>
          <w:marRight w:val="0"/>
          <w:marTop w:val="0"/>
          <w:marBottom w:val="0"/>
          <w:divBdr>
            <w:top w:val="none" w:sz="0" w:space="0" w:color="auto"/>
            <w:left w:val="none" w:sz="0" w:space="0" w:color="auto"/>
            <w:bottom w:val="none" w:sz="0" w:space="0" w:color="auto"/>
            <w:right w:val="none" w:sz="0" w:space="0" w:color="auto"/>
          </w:divBdr>
        </w:div>
        <w:div w:id="556475447">
          <w:marLeft w:val="0"/>
          <w:marRight w:val="0"/>
          <w:marTop w:val="0"/>
          <w:marBottom w:val="0"/>
          <w:divBdr>
            <w:top w:val="none" w:sz="0" w:space="0" w:color="auto"/>
            <w:left w:val="none" w:sz="0" w:space="0" w:color="auto"/>
            <w:bottom w:val="none" w:sz="0" w:space="0" w:color="auto"/>
            <w:right w:val="none" w:sz="0" w:space="0" w:color="auto"/>
          </w:divBdr>
        </w:div>
        <w:div w:id="1848473498">
          <w:marLeft w:val="0"/>
          <w:marRight w:val="0"/>
          <w:marTop w:val="0"/>
          <w:marBottom w:val="0"/>
          <w:divBdr>
            <w:top w:val="none" w:sz="0" w:space="0" w:color="auto"/>
            <w:left w:val="none" w:sz="0" w:space="0" w:color="auto"/>
            <w:bottom w:val="none" w:sz="0" w:space="0" w:color="auto"/>
            <w:right w:val="none" w:sz="0" w:space="0" w:color="auto"/>
          </w:divBdr>
        </w:div>
        <w:div w:id="169759468">
          <w:marLeft w:val="0"/>
          <w:marRight w:val="0"/>
          <w:marTop w:val="0"/>
          <w:marBottom w:val="0"/>
          <w:divBdr>
            <w:top w:val="none" w:sz="0" w:space="0" w:color="auto"/>
            <w:left w:val="none" w:sz="0" w:space="0" w:color="auto"/>
            <w:bottom w:val="none" w:sz="0" w:space="0" w:color="auto"/>
            <w:right w:val="none" w:sz="0" w:space="0" w:color="auto"/>
          </w:divBdr>
        </w:div>
        <w:div w:id="1262101563">
          <w:marLeft w:val="0"/>
          <w:marRight w:val="0"/>
          <w:marTop w:val="0"/>
          <w:marBottom w:val="0"/>
          <w:divBdr>
            <w:top w:val="none" w:sz="0" w:space="0" w:color="auto"/>
            <w:left w:val="none" w:sz="0" w:space="0" w:color="auto"/>
            <w:bottom w:val="none" w:sz="0" w:space="0" w:color="auto"/>
            <w:right w:val="none" w:sz="0" w:space="0" w:color="auto"/>
          </w:divBdr>
        </w:div>
        <w:div w:id="258292448">
          <w:marLeft w:val="0"/>
          <w:marRight w:val="0"/>
          <w:marTop w:val="0"/>
          <w:marBottom w:val="0"/>
          <w:divBdr>
            <w:top w:val="none" w:sz="0" w:space="0" w:color="auto"/>
            <w:left w:val="none" w:sz="0" w:space="0" w:color="auto"/>
            <w:bottom w:val="none" w:sz="0" w:space="0" w:color="auto"/>
            <w:right w:val="none" w:sz="0" w:space="0" w:color="auto"/>
          </w:divBdr>
        </w:div>
        <w:div w:id="749156308">
          <w:marLeft w:val="0"/>
          <w:marRight w:val="0"/>
          <w:marTop w:val="0"/>
          <w:marBottom w:val="0"/>
          <w:divBdr>
            <w:top w:val="none" w:sz="0" w:space="0" w:color="auto"/>
            <w:left w:val="none" w:sz="0" w:space="0" w:color="auto"/>
            <w:bottom w:val="none" w:sz="0" w:space="0" w:color="auto"/>
            <w:right w:val="none" w:sz="0" w:space="0" w:color="auto"/>
          </w:divBdr>
        </w:div>
        <w:div w:id="1426002539">
          <w:marLeft w:val="0"/>
          <w:marRight w:val="0"/>
          <w:marTop w:val="0"/>
          <w:marBottom w:val="0"/>
          <w:divBdr>
            <w:top w:val="none" w:sz="0" w:space="0" w:color="auto"/>
            <w:left w:val="none" w:sz="0" w:space="0" w:color="auto"/>
            <w:bottom w:val="none" w:sz="0" w:space="0" w:color="auto"/>
            <w:right w:val="none" w:sz="0" w:space="0" w:color="auto"/>
          </w:divBdr>
        </w:div>
        <w:div w:id="739713585">
          <w:marLeft w:val="0"/>
          <w:marRight w:val="0"/>
          <w:marTop w:val="0"/>
          <w:marBottom w:val="0"/>
          <w:divBdr>
            <w:top w:val="none" w:sz="0" w:space="0" w:color="auto"/>
            <w:left w:val="none" w:sz="0" w:space="0" w:color="auto"/>
            <w:bottom w:val="none" w:sz="0" w:space="0" w:color="auto"/>
            <w:right w:val="none" w:sz="0" w:space="0" w:color="auto"/>
          </w:divBdr>
        </w:div>
        <w:div w:id="1041318854">
          <w:marLeft w:val="0"/>
          <w:marRight w:val="0"/>
          <w:marTop w:val="0"/>
          <w:marBottom w:val="0"/>
          <w:divBdr>
            <w:top w:val="none" w:sz="0" w:space="0" w:color="auto"/>
            <w:left w:val="none" w:sz="0" w:space="0" w:color="auto"/>
            <w:bottom w:val="none" w:sz="0" w:space="0" w:color="auto"/>
            <w:right w:val="none" w:sz="0" w:space="0" w:color="auto"/>
          </w:divBdr>
        </w:div>
        <w:div w:id="416561812">
          <w:marLeft w:val="0"/>
          <w:marRight w:val="0"/>
          <w:marTop w:val="0"/>
          <w:marBottom w:val="0"/>
          <w:divBdr>
            <w:top w:val="none" w:sz="0" w:space="0" w:color="auto"/>
            <w:left w:val="none" w:sz="0" w:space="0" w:color="auto"/>
            <w:bottom w:val="none" w:sz="0" w:space="0" w:color="auto"/>
            <w:right w:val="none" w:sz="0" w:space="0" w:color="auto"/>
          </w:divBdr>
        </w:div>
        <w:div w:id="1377507974">
          <w:marLeft w:val="0"/>
          <w:marRight w:val="0"/>
          <w:marTop w:val="0"/>
          <w:marBottom w:val="0"/>
          <w:divBdr>
            <w:top w:val="none" w:sz="0" w:space="0" w:color="auto"/>
            <w:left w:val="none" w:sz="0" w:space="0" w:color="auto"/>
            <w:bottom w:val="none" w:sz="0" w:space="0" w:color="auto"/>
            <w:right w:val="none" w:sz="0" w:space="0" w:color="auto"/>
          </w:divBdr>
        </w:div>
        <w:div w:id="297496378">
          <w:marLeft w:val="0"/>
          <w:marRight w:val="0"/>
          <w:marTop w:val="0"/>
          <w:marBottom w:val="0"/>
          <w:divBdr>
            <w:top w:val="none" w:sz="0" w:space="0" w:color="auto"/>
            <w:left w:val="none" w:sz="0" w:space="0" w:color="auto"/>
            <w:bottom w:val="none" w:sz="0" w:space="0" w:color="auto"/>
            <w:right w:val="none" w:sz="0" w:space="0" w:color="auto"/>
          </w:divBdr>
        </w:div>
        <w:div w:id="791821391">
          <w:marLeft w:val="0"/>
          <w:marRight w:val="0"/>
          <w:marTop w:val="0"/>
          <w:marBottom w:val="0"/>
          <w:divBdr>
            <w:top w:val="none" w:sz="0" w:space="0" w:color="auto"/>
            <w:left w:val="none" w:sz="0" w:space="0" w:color="auto"/>
            <w:bottom w:val="none" w:sz="0" w:space="0" w:color="auto"/>
            <w:right w:val="none" w:sz="0" w:space="0" w:color="auto"/>
          </w:divBdr>
        </w:div>
        <w:div w:id="902763976">
          <w:marLeft w:val="0"/>
          <w:marRight w:val="0"/>
          <w:marTop w:val="0"/>
          <w:marBottom w:val="0"/>
          <w:divBdr>
            <w:top w:val="none" w:sz="0" w:space="0" w:color="auto"/>
            <w:left w:val="none" w:sz="0" w:space="0" w:color="auto"/>
            <w:bottom w:val="none" w:sz="0" w:space="0" w:color="auto"/>
            <w:right w:val="none" w:sz="0" w:space="0" w:color="auto"/>
          </w:divBdr>
        </w:div>
        <w:div w:id="448551376">
          <w:marLeft w:val="0"/>
          <w:marRight w:val="0"/>
          <w:marTop w:val="0"/>
          <w:marBottom w:val="0"/>
          <w:divBdr>
            <w:top w:val="none" w:sz="0" w:space="0" w:color="auto"/>
            <w:left w:val="none" w:sz="0" w:space="0" w:color="auto"/>
            <w:bottom w:val="none" w:sz="0" w:space="0" w:color="auto"/>
            <w:right w:val="none" w:sz="0" w:space="0" w:color="auto"/>
          </w:divBdr>
        </w:div>
        <w:div w:id="572737976">
          <w:marLeft w:val="0"/>
          <w:marRight w:val="0"/>
          <w:marTop w:val="0"/>
          <w:marBottom w:val="0"/>
          <w:divBdr>
            <w:top w:val="none" w:sz="0" w:space="0" w:color="auto"/>
            <w:left w:val="none" w:sz="0" w:space="0" w:color="auto"/>
            <w:bottom w:val="none" w:sz="0" w:space="0" w:color="auto"/>
            <w:right w:val="none" w:sz="0" w:space="0" w:color="auto"/>
          </w:divBdr>
        </w:div>
        <w:div w:id="749616976">
          <w:marLeft w:val="0"/>
          <w:marRight w:val="0"/>
          <w:marTop w:val="0"/>
          <w:marBottom w:val="0"/>
          <w:divBdr>
            <w:top w:val="none" w:sz="0" w:space="0" w:color="auto"/>
            <w:left w:val="none" w:sz="0" w:space="0" w:color="auto"/>
            <w:bottom w:val="none" w:sz="0" w:space="0" w:color="auto"/>
            <w:right w:val="none" w:sz="0" w:space="0" w:color="auto"/>
          </w:divBdr>
        </w:div>
        <w:div w:id="2129351677">
          <w:marLeft w:val="0"/>
          <w:marRight w:val="0"/>
          <w:marTop w:val="0"/>
          <w:marBottom w:val="0"/>
          <w:divBdr>
            <w:top w:val="none" w:sz="0" w:space="0" w:color="auto"/>
            <w:left w:val="none" w:sz="0" w:space="0" w:color="auto"/>
            <w:bottom w:val="none" w:sz="0" w:space="0" w:color="auto"/>
            <w:right w:val="none" w:sz="0" w:space="0" w:color="auto"/>
          </w:divBdr>
        </w:div>
        <w:div w:id="697900603">
          <w:marLeft w:val="0"/>
          <w:marRight w:val="0"/>
          <w:marTop w:val="0"/>
          <w:marBottom w:val="0"/>
          <w:divBdr>
            <w:top w:val="none" w:sz="0" w:space="0" w:color="auto"/>
            <w:left w:val="none" w:sz="0" w:space="0" w:color="auto"/>
            <w:bottom w:val="none" w:sz="0" w:space="0" w:color="auto"/>
            <w:right w:val="none" w:sz="0" w:space="0" w:color="auto"/>
          </w:divBdr>
        </w:div>
        <w:div w:id="1100682559">
          <w:marLeft w:val="0"/>
          <w:marRight w:val="0"/>
          <w:marTop w:val="0"/>
          <w:marBottom w:val="0"/>
          <w:divBdr>
            <w:top w:val="none" w:sz="0" w:space="0" w:color="auto"/>
            <w:left w:val="none" w:sz="0" w:space="0" w:color="auto"/>
            <w:bottom w:val="none" w:sz="0" w:space="0" w:color="auto"/>
            <w:right w:val="none" w:sz="0" w:space="0" w:color="auto"/>
          </w:divBdr>
        </w:div>
        <w:div w:id="559512970">
          <w:marLeft w:val="0"/>
          <w:marRight w:val="0"/>
          <w:marTop w:val="0"/>
          <w:marBottom w:val="0"/>
          <w:divBdr>
            <w:top w:val="none" w:sz="0" w:space="0" w:color="auto"/>
            <w:left w:val="none" w:sz="0" w:space="0" w:color="auto"/>
            <w:bottom w:val="none" w:sz="0" w:space="0" w:color="auto"/>
            <w:right w:val="none" w:sz="0" w:space="0" w:color="auto"/>
          </w:divBdr>
        </w:div>
        <w:div w:id="976421406">
          <w:marLeft w:val="0"/>
          <w:marRight w:val="0"/>
          <w:marTop w:val="0"/>
          <w:marBottom w:val="0"/>
          <w:divBdr>
            <w:top w:val="none" w:sz="0" w:space="0" w:color="auto"/>
            <w:left w:val="none" w:sz="0" w:space="0" w:color="auto"/>
            <w:bottom w:val="none" w:sz="0" w:space="0" w:color="auto"/>
            <w:right w:val="none" w:sz="0" w:space="0" w:color="auto"/>
          </w:divBdr>
        </w:div>
        <w:div w:id="1206916173">
          <w:marLeft w:val="0"/>
          <w:marRight w:val="0"/>
          <w:marTop w:val="0"/>
          <w:marBottom w:val="0"/>
          <w:divBdr>
            <w:top w:val="none" w:sz="0" w:space="0" w:color="auto"/>
            <w:left w:val="none" w:sz="0" w:space="0" w:color="auto"/>
            <w:bottom w:val="none" w:sz="0" w:space="0" w:color="auto"/>
            <w:right w:val="none" w:sz="0" w:space="0" w:color="auto"/>
          </w:divBdr>
        </w:div>
        <w:div w:id="1566448306">
          <w:marLeft w:val="0"/>
          <w:marRight w:val="0"/>
          <w:marTop w:val="0"/>
          <w:marBottom w:val="0"/>
          <w:divBdr>
            <w:top w:val="none" w:sz="0" w:space="0" w:color="auto"/>
            <w:left w:val="none" w:sz="0" w:space="0" w:color="auto"/>
            <w:bottom w:val="none" w:sz="0" w:space="0" w:color="auto"/>
            <w:right w:val="none" w:sz="0" w:space="0" w:color="auto"/>
          </w:divBdr>
        </w:div>
        <w:div w:id="981695138">
          <w:marLeft w:val="0"/>
          <w:marRight w:val="0"/>
          <w:marTop w:val="0"/>
          <w:marBottom w:val="0"/>
          <w:divBdr>
            <w:top w:val="none" w:sz="0" w:space="0" w:color="auto"/>
            <w:left w:val="none" w:sz="0" w:space="0" w:color="auto"/>
            <w:bottom w:val="none" w:sz="0" w:space="0" w:color="auto"/>
            <w:right w:val="none" w:sz="0" w:space="0" w:color="auto"/>
          </w:divBdr>
        </w:div>
        <w:div w:id="1373070800">
          <w:marLeft w:val="0"/>
          <w:marRight w:val="0"/>
          <w:marTop w:val="0"/>
          <w:marBottom w:val="0"/>
          <w:divBdr>
            <w:top w:val="none" w:sz="0" w:space="0" w:color="auto"/>
            <w:left w:val="none" w:sz="0" w:space="0" w:color="auto"/>
            <w:bottom w:val="none" w:sz="0" w:space="0" w:color="auto"/>
            <w:right w:val="none" w:sz="0" w:space="0" w:color="auto"/>
          </w:divBdr>
        </w:div>
        <w:div w:id="1936478911">
          <w:marLeft w:val="0"/>
          <w:marRight w:val="0"/>
          <w:marTop w:val="0"/>
          <w:marBottom w:val="0"/>
          <w:divBdr>
            <w:top w:val="none" w:sz="0" w:space="0" w:color="auto"/>
            <w:left w:val="none" w:sz="0" w:space="0" w:color="auto"/>
            <w:bottom w:val="none" w:sz="0" w:space="0" w:color="auto"/>
            <w:right w:val="none" w:sz="0" w:space="0" w:color="auto"/>
          </w:divBdr>
        </w:div>
        <w:div w:id="2083982215">
          <w:marLeft w:val="0"/>
          <w:marRight w:val="0"/>
          <w:marTop w:val="0"/>
          <w:marBottom w:val="0"/>
          <w:divBdr>
            <w:top w:val="none" w:sz="0" w:space="0" w:color="auto"/>
            <w:left w:val="none" w:sz="0" w:space="0" w:color="auto"/>
            <w:bottom w:val="none" w:sz="0" w:space="0" w:color="auto"/>
            <w:right w:val="none" w:sz="0" w:space="0" w:color="auto"/>
          </w:divBdr>
        </w:div>
        <w:div w:id="1331719376">
          <w:marLeft w:val="0"/>
          <w:marRight w:val="0"/>
          <w:marTop w:val="0"/>
          <w:marBottom w:val="0"/>
          <w:divBdr>
            <w:top w:val="none" w:sz="0" w:space="0" w:color="auto"/>
            <w:left w:val="none" w:sz="0" w:space="0" w:color="auto"/>
            <w:bottom w:val="none" w:sz="0" w:space="0" w:color="auto"/>
            <w:right w:val="none" w:sz="0" w:space="0" w:color="auto"/>
          </w:divBdr>
        </w:div>
        <w:div w:id="221185680">
          <w:marLeft w:val="0"/>
          <w:marRight w:val="0"/>
          <w:marTop w:val="0"/>
          <w:marBottom w:val="0"/>
          <w:divBdr>
            <w:top w:val="none" w:sz="0" w:space="0" w:color="auto"/>
            <w:left w:val="none" w:sz="0" w:space="0" w:color="auto"/>
            <w:bottom w:val="none" w:sz="0" w:space="0" w:color="auto"/>
            <w:right w:val="none" w:sz="0" w:space="0" w:color="auto"/>
          </w:divBdr>
        </w:div>
        <w:div w:id="1273829283">
          <w:marLeft w:val="0"/>
          <w:marRight w:val="0"/>
          <w:marTop w:val="0"/>
          <w:marBottom w:val="0"/>
          <w:divBdr>
            <w:top w:val="none" w:sz="0" w:space="0" w:color="auto"/>
            <w:left w:val="none" w:sz="0" w:space="0" w:color="auto"/>
            <w:bottom w:val="none" w:sz="0" w:space="0" w:color="auto"/>
            <w:right w:val="none" w:sz="0" w:space="0" w:color="auto"/>
          </w:divBdr>
        </w:div>
      </w:divsChild>
    </w:div>
    <w:div w:id="1255675781">
      <w:bodyDiv w:val="1"/>
      <w:marLeft w:val="0"/>
      <w:marRight w:val="0"/>
      <w:marTop w:val="0"/>
      <w:marBottom w:val="0"/>
      <w:divBdr>
        <w:top w:val="none" w:sz="0" w:space="0" w:color="auto"/>
        <w:left w:val="none" w:sz="0" w:space="0" w:color="auto"/>
        <w:bottom w:val="none" w:sz="0" w:space="0" w:color="auto"/>
        <w:right w:val="none" w:sz="0" w:space="0" w:color="auto"/>
      </w:divBdr>
    </w:div>
    <w:div w:id="1322732160">
      <w:bodyDiv w:val="1"/>
      <w:marLeft w:val="0"/>
      <w:marRight w:val="0"/>
      <w:marTop w:val="0"/>
      <w:marBottom w:val="0"/>
      <w:divBdr>
        <w:top w:val="none" w:sz="0" w:space="0" w:color="auto"/>
        <w:left w:val="none" w:sz="0" w:space="0" w:color="auto"/>
        <w:bottom w:val="none" w:sz="0" w:space="0" w:color="auto"/>
        <w:right w:val="none" w:sz="0" w:space="0" w:color="auto"/>
      </w:divBdr>
    </w:div>
    <w:div w:id="1393574831">
      <w:bodyDiv w:val="1"/>
      <w:marLeft w:val="0"/>
      <w:marRight w:val="0"/>
      <w:marTop w:val="0"/>
      <w:marBottom w:val="0"/>
      <w:divBdr>
        <w:top w:val="none" w:sz="0" w:space="0" w:color="auto"/>
        <w:left w:val="none" w:sz="0" w:space="0" w:color="auto"/>
        <w:bottom w:val="none" w:sz="0" w:space="0" w:color="auto"/>
        <w:right w:val="none" w:sz="0" w:space="0" w:color="auto"/>
      </w:divBdr>
    </w:div>
    <w:div w:id="1449158233">
      <w:bodyDiv w:val="1"/>
      <w:marLeft w:val="0"/>
      <w:marRight w:val="0"/>
      <w:marTop w:val="0"/>
      <w:marBottom w:val="0"/>
      <w:divBdr>
        <w:top w:val="none" w:sz="0" w:space="0" w:color="auto"/>
        <w:left w:val="none" w:sz="0" w:space="0" w:color="auto"/>
        <w:bottom w:val="none" w:sz="0" w:space="0" w:color="auto"/>
        <w:right w:val="none" w:sz="0" w:space="0" w:color="auto"/>
      </w:divBdr>
    </w:div>
    <w:div w:id="1578250597">
      <w:bodyDiv w:val="1"/>
      <w:marLeft w:val="0"/>
      <w:marRight w:val="0"/>
      <w:marTop w:val="0"/>
      <w:marBottom w:val="0"/>
      <w:divBdr>
        <w:top w:val="none" w:sz="0" w:space="0" w:color="auto"/>
        <w:left w:val="none" w:sz="0" w:space="0" w:color="auto"/>
        <w:bottom w:val="none" w:sz="0" w:space="0" w:color="auto"/>
        <w:right w:val="none" w:sz="0" w:space="0" w:color="auto"/>
      </w:divBdr>
    </w:div>
    <w:div w:id="1648166944">
      <w:bodyDiv w:val="1"/>
      <w:marLeft w:val="0"/>
      <w:marRight w:val="0"/>
      <w:marTop w:val="0"/>
      <w:marBottom w:val="0"/>
      <w:divBdr>
        <w:top w:val="none" w:sz="0" w:space="0" w:color="auto"/>
        <w:left w:val="none" w:sz="0" w:space="0" w:color="auto"/>
        <w:bottom w:val="none" w:sz="0" w:space="0" w:color="auto"/>
        <w:right w:val="none" w:sz="0" w:space="0" w:color="auto"/>
      </w:divBdr>
    </w:div>
    <w:div w:id="1650280304">
      <w:bodyDiv w:val="1"/>
      <w:marLeft w:val="0"/>
      <w:marRight w:val="0"/>
      <w:marTop w:val="0"/>
      <w:marBottom w:val="0"/>
      <w:divBdr>
        <w:top w:val="none" w:sz="0" w:space="0" w:color="auto"/>
        <w:left w:val="none" w:sz="0" w:space="0" w:color="auto"/>
        <w:bottom w:val="none" w:sz="0" w:space="0" w:color="auto"/>
        <w:right w:val="none" w:sz="0" w:space="0" w:color="auto"/>
      </w:divBdr>
      <w:divsChild>
        <w:div w:id="695741339">
          <w:marLeft w:val="360"/>
          <w:marRight w:val="0"/>
          <w:marTop w:val="200"/>
          <w:marBottom w:val="0"/>
          <w:divBdr>
            <w:top w:val="none" w:sz="0" w:space="0" w:color="auto"/>
            <w:left w:val="none" w:sz="0" w:space="0" w:color="auto"/>
            <w:bottom w:val="none" w:sz="0" w:space="0" w:color="auto"/>
            <w:right w:val="none" w:sz="0" w:space="0" w:color="auto"/>
          </w:divBdr>
        </w:div>
      </w:divsChild>
    </w:div>
    <w:div w:id="1753161541">
      <w:bodyDiv w:val="1"/>
      <w:marLeft w:val="0"/>
      <w:marRight w:val="0"/>
      <w:marTop w:val="0"/>
      <w:marBottom w:val="0"/>
      <w:divBdr>
        <w:top w:val="none" w:sz="0" w:space="0" w:color="auto"/>
        <w:left w:val="none" w:sz="0" w:space="0" w:color="auto"/>
        <w:bottom w:val="none" w:sz="0" w:space="0" w:color="auto"/>
        <w:right w:val="none" w:sz="0" w:space="0" w:color="auto"/>
      </w:divBdr>
    </w:div>
    <w:div w:id="19961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pdcrime.com/penal.law/article496.htm" TargetMode="External"/><Relationship Id="rId13" Type="http://schemas.openxmlformats.org/officeDocument/2006/relationships/hyperlink" Target="http://www.ncsl.org/research/about-state-legislatures/full-and-part-time-legislatur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case?case=1669106381245095164&amp;q=Boryszewski+v.+Brydges&amp;hl=en&amp;as_sdt=6,33&amp;as_vis=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dgewatch.org/web-pages/judicial-compensation/menu-ny-judicial-compensatio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dgewatch.org" TargetMode="External"/><Relationship Id="rId4" Type="http://schemas.openxmlformats.org/officeDocument/2006/relationships/settings" Target="settings.xml"/><Relationship Id="rId9" Type="http://schemas.openxmlformats.org/officeDocument/2006/relationships/hyperlink" Target="http://ypdcrime.com/penal.law/article496.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holi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9FBE-CC44-4A2A-8ABF-7EA7B665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12257</Words>
  <Characters>69869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Sassower</dc:creator>
  <cp:keywords/>
  <dc:description/>
  <cp:lastModifiedBy>Elena Sassower</cp:lastModifiedBy>
  <cp:revision>5</cp:revision>
  <dcterms:created xsi:type="dcterms:W3CDTF">2019-01-15T22:07:00Z</dcterms:created>
  <dcterms:modified xsi:type="dcterms:W3CDTF">2019-01-15T23:32:00Z</dcterms:modified>
</cp:coreProperties>
</file>